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 w:hAnsi="仿宋" w:eastAsia="仿宋" w:cs="宋体"/>
          <w:kern w:val="0"/>
          <w:sz w:val="30"/>
          <w:szCs w:val="30"/>
        </w:rPr>
      </w:pPr>
      <w:bookmarkStart w:id="0" w:name="_GoBack"/>
      <w:bookmarkEnd w:id="0"/>
      <w:r>
        <w:rPr>
          <w:rFonts w:hint="eastAsia" w:ascii="仿宋" w:hAnsi="仿宋" w:eastAsia="仿宋" w:cs="宋体"/>
          <w:kern w:val="0"/>
          <w:sz w:val="30"/>
          <w:szCs w:val="30"/>
        </w:rPr>
        <w:t>附件1、乐山市农业农村领域科技项目拟通过验收项目清单(70项)</w:t>
      </w:r>
    </w:p>
    <w:p/>
    <w:tbl>
      <w:tblPr>
        <w:tblStyle w:val="4"/>
        <w:tblW w:w="8369" w:type="dxa"/>
        <w:tblInd w:w="103" w:type="dxa"/>
        <w:tblLayout w:type="fixed"/>
        <w:tblCellMar>
          <w:top w:w="0" w:type="dxa"/>
          <w:left w:w="108" w:type="dxa"/>
          <w:bottom w:w="0" w:type="dxa"/>
          <w:right w:w="108" w:type="dxa"/>
        </w:tblCellMar>
      </w:tblPr>
      <w:tblGrid>
        <w:gridCol w:w="714"/>
        <w:gridCol w:w="1276"/>
        <w:gridCol w:w="2410"/>
        <w:gridCol w:w="2126"/>
        <w:gridCol w:w="1134"/>
        <w:gridCol w:w="709"/>
      </w:tblGrid>
      <w:tr>
        <w:tblPrEx>
          <w:tblCellMar>
            <w:top w:w="0" w:type="dxa"/>
            <w:left w:w="108" w:type="dxa"/>
            <w:bottom w:w="0" w:type="dxa"/>
            <w:right w:w="108" w:type="dxa"/>
          </w:tblCellMar>
        </w:tblPrEx>
        <w:trPr>
          <w:trHeight w:val="928"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立项编号</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项目名称</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申报单位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归口部门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项目类别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18NFP001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优质山羊高效养殖技术集成与推广应用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马边沙腔乡鄢家碉晨鸿畜禽养殖专业合作社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584"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18NFP002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高寒地区西门塔尔牛繁殖技术研究与示范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马边彝诚肉牛养殖专业合作社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584"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18NFP003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水平溪村肉牛标准化养殖与示范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马边荍坝新科畜禽养殖专业合作社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996"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18NFP004</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大瓦山云雾茶生产技术集成与应用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乐山市金口河区大瓦山云雾茶种植专业合作社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金口河区教科局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18NFP005</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乐山市土壤区划地图示范推广应用（同心村错季高山蔬菜种植）</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乐山市金口河区清海田农业开发有限责任公司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金口河区教科局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6</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18NFP007</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冷水养鱼人工繁殖扶贫重点研究项目</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峨边金岩罗枝冷水养鱼专业合作社</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峨边县发改局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18NFP006</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沐川县生态养鸡技术示范与推广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沐川县山谷地乌骨鸡养殖专业合作社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沐川县教科局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林下养殖技术集成与示范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马边沙腔乡鄢家碉晨鸿畜禽养殖专业合作社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17ZDYJ0206</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优质山羊标准化养殖技术集成及示范带动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马边沙腔乡鄢家碉晨鸿畜禽养殖专业合作社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584"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17ZDYJ0207</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西门塔尔肉牛快速育肥与病害综合防控技术研究与示范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马边彝诚肉牛养殖专业合作社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17ZDYJ0205</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优质肉兔规模化养殖与示范带动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马边县荍坝乡修成畜禽养殖专业合作社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17ZDYJ0204</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油用牡丹标准种植和间作套种示范推广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马边荍坝惠泽油用牡丹种植专业合作社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1169"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17NYQ170</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出口魔芋食品制造技术中试转化及规模化生产</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四川森态源生物科技有限公司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沐川县教科局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1323"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4</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17ZDYJ0252</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建设村土壤区划图推广试点示范</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乐山市金口河区大瓦山云雾茶种植专业合作社</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金口河区教科局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1336"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17NZD135</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凉山黑猪母猪繁育技术集成和转化应用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马边沙腔乡鄢家碉晨鸿畜禽养殖专业合作社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1453"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17NZD086</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乐山市金口河区高山马铃薯增产种植研究</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乐山职业技术学院</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3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17NZD100</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彩色水稻花青素合成的分子调控机制及育种应用研究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3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17NZD103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乐山油菜秸秆资源量估算及其经济价值评估</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1</w:t>
            </w:r>
            <w:r>
              <w:rPr>
                <w:rFonts w:hint="eastAsia" w:ascii="仿宋" w:hAnsi="仿宋" w:eastAsia="仿宋" w:cs="宋体"/>
                <w:color w:val="000000"/>
                <w:kern w:val="0"/>
                <w:sz w:val="24"/>
                <w:szCs w:val="24"/>
                <w:lang w:val="en-US" w:eastAsia="zh-CN"/>
              </w:rPr>
              <w:t>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17NFP008</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凉山黑猪母猪繁育技术集成和转化应用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马边沙腔乡鄢家碉晨鸿畜禽养殖专业合作社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1124"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16NZD121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适度规模猪场生产有机肥料试验示范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五通桥长益生物科技有限责任公司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五通桥区发改局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重点研究项目</w:t>
            </w:r>
          </w:p>
        </w:tc>
      </w:tr>
      <w:tr>
        <w:tblPrEx>
          <w:tblCellMar>
            <w:top w:w="0" w:type="dxa"/>
            <w:left w:w="108" w:type="dxa"/>
            <w:bottom w:w="0" w:type="dxa"/>
            <w:right w:w="108" w:type="dxa"/>
          </w:tblCellMar>
        </w:tblPrEx>
        <w:trPr>
          <w:trHeight w:val="83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16NZD006</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适度规模蛋鸡场通风控温系统关键技术研究与应用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乐山市市中区安谷镇众兴养殖场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高新区科技局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1408"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16NZD120</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农作物秸秆饲喂草食动物示范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乐山市市中区安谷双水奶牛场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高新区科技局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重点研究项目</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16NZD108</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猪场污水的生态湿地处理建设技术与示范研究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乐山市众力神农牧科技有限责任公司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市中区科技局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2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16NFP022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大瓦山云雾茶技术集成与转化应用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乐山市金口河区大瓦山云雾茶种植专业合作社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金口河区教科局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58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16NZD116</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峨边榨菜产业化技术研究与应用</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四川峨边五旺有限责任公司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峨边县发改局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科技扶贫项目</w:t>
            </w:r>
          </w:p>
        </w:tc>
      </w:tr>
      <w:tr>
        <w:tblPrEx>
          <w:tblCellMar>
            <w:top w:w="0" w:type="dxa"/>
            <w:left w:w="108" w:type="dxa"/>
            <w:bottom w:w="0" w:type="dxa"/>
            <w:right w:w="108" w:type="dxa"/>
          </w:tblCellMar>
        </w:tblPrEx>
        <w:trPr>
          <w:trHeight w:val="116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16NFP081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优质肉牛快速育肥技术研究与示范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马边彝诚肉牛养殖专业合作社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16NZD117</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油用牡丹在马边水平溪村的引种示范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马边荞坝惠泽油用牡丹种植专业合作社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93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16NZD118</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贫困地区生猪标准化规模养殖示范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马边县劳动乡奋进红星畜禽养殖专业合作社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584"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29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16NZD119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马边有机黄茶的研发与推广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马边金星茶业开发有限责任公司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马边县发改局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r>
        <w:tblPrEx>
          <w:tblCellMar>
            <w:top w:w="0" w:type="dxa"/>
            <w:left w:w="108" w:type="dxa"/>
            <w:bottom w:w="0" w:type="dxa"/>
            <w:right w:w="108" w:type="dxa"/>
          </w:tblCellMar>
        </w:tblPrEx>
        <w:trPr>
          <w:trHeight w:val="1091"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16NYQ135</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“川茶2号”无性系茶树新品种繁育与示范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四川一枝春茶业有限公司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沐川县教科局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155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16NZD017</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臭氧微量控制及雾化技术在农牧业产业链中的应用研究及设备生产</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四川乐山伟业机电有限责任公司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高新区科技局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1403"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16NYQ137</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预调理牛肉制品加工技术应用研究及产品开发</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四川罗城牛肉食品有限公司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高新区科技和知识产权局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33</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16NZD104</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湿帘降温改变孵化环境促生产</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乐山市市中区嘉源种鸡场</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市中区科技局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1247"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16NZD084</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蓝莓优良种苗培育研究与示范推广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乐山嘉益农业发展有限公司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沙湾区发改局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16NZD089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商品蛋鸡标准化健康养殖综合配套技术研究与应用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四川省乐山市明仕农业发展有限公司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沙湾区发改局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16NYQ139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乐山地区核桃资源调查及乡土优株选育</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峨眉山圣果农林科技有限公司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峨眉山市科学技术局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93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16NYQ134</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魔芋精加工装备技术集成应用与示范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四川森态源生物科技有限公司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沐川县教科局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38</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16NYQ141</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峨边花牛冰鲜牛肉的开发与技术研究</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峨边向阳食品有限责任公司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峨边县发改局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39</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16NYQ142</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高抗“黄化曲叶病毒”（TY）番茄品种的引种与示范</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四川福华高科种业有限责任公司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夹江县科学技术局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16NZD060</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畜禽粪污综合利用关键技术应用与推广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乐山市畜牧站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844"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16NZD061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水稻直播技术研究与应用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乐山市农业技术推广站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16NZD062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峨眉山濒危名贵中药材—峨眉白芨人工繁育与示范推广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乐山市农业科学研究院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平台建设</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16NYQ144</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茄科类蔬菜土传病害防治研究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乐山农博士现代农业发展有限公司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峨眉山市科学技术局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676"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16NYQ145</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山区猕猴桃溃疡病综合防治研究与推广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四川旭峰果业有限公司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沐川县教科局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389"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16NZD059</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笋用乌儿竹选育技术研究</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乐山市林业科学研究院</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乐山市林业局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46</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16NZD063</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台湾大白姜脱毒快繁技术研究及其推广应用</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乐山市农业科学研究院</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1247"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16NZD002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分布式yij（亚临界）粪污处理系统在规模养殖生产中的应用与研究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乐山高新区禾颐生物科技有限公司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高新区科技局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1091"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16NZD013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基于互联网技术应用的农产品质量安全监管追溯系统的研发</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四川奥信通科技发展有限公司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高新区科技局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3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49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16NZD109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杉木三代优良无性系品种引种造林试验</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四川乐山川林生态科技开发有限公司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市中区科技局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16NZD101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非洲大雁专用配方饲料的研发</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乐山市绿野畜禽专业合作社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市中区科技局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3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16NYQ140</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乐山市水产高科技博览园现代渔业设施研究与应用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乐山市继东渔业专业合作社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市中区发改局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16NZD112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樱花品种引进及种植技术应用推广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乐山市五通桥区百强花木有限公司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五通桥区发改局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1247"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53</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16NYQ146</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芥菜规模化种植与生产加工技术研究与产业化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乐山市牛华芽菜食品有限公司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五通桥区科学技术局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农业园区</w:t>
            </w:r>
          </w:p>
        </w:tc>
      </w:tr>
      <w:tr>
        <w:tblPrEx>
          <w:tblCellMar>
            <w:top w:w="0" w:type="dxa"/>
            <w:left w:w="108" w:type="dxa"/>
            <w:bottom w:w="0" w:type="dxa"/>
            <w:right w:w="108" w:type="dxa"/>
          </w:tblCellMar>
        </w:tblPrEx>
        <w:trPr>
          <w:trHeight w:val="935"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54</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16NZD023</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野猪制品新型加工技术研究与示范</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乐山市金口河区宏运养殖有限责任公司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金口河区教科局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3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16NZD037</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乐山地区主产竹笋品种保鲜加工关键技术创新研究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78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16NZD043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指纹图谱结合化学计量学对金银花种类及品质判断研究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75" w:hRule="atLeast"/>
        </w:trPr>
        <w:tc>
          <w:tcPr>
            <w:tcW w:w="71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57</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15NYQ005</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猪肉制品安全生产控制及物流配送关键技术与应用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四川省井研县食品有限责任公司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井研县科技局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园区专项</w:t>
            </w:r>
          </w:p>
        </w:tc>
      </w:tr>
      <w:tr>
        <w:tblPrEx>
          <w:tblCellMar>
            <w:top w:w="0" w:type="dxa"/>
            <w:left w:w="108" w:type="dxa"/>
            <w:bottom w:w="0" w:type="dxa"/>
            <w:right w:w="108" w:type="dxa"/>
          </w:tblCellMar>
        </w:tblPrEx>
        <w:trPr>
          <w:trHeight w:val="584" w:hRule="atLeast"/>
        </w:trPr>
        <w:tc>
          <w:tcPr>
            <w:tcW w:w="71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58</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15NYQ017</w:t>
            </w:r>
            <w:r>
              <w:rPr>
                <w:rFonts w:ascii="仿宋" w:hAnsi="仿宋" w:eastAsia="仿宋" w:cs="宋体"/>
                <w:color w:val="000000"/>
                <w:kern w:val="0"/>
                <w:sz w:val="24"/>
                <w:szCs w:val="24"/>
              </w:rPr>
              <w:t xml:space="preserve">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规模化猪场仔猪病毒性腹泻综合防控技术研究与示范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四川蓝雁畜牧科技发展有限公司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井研县科技局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园区专项</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59</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15NYQ024</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生猪福利化养殖 及废弃物资源化利用技术集成与应用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四川省乐山 市牧源种畜科技有限公司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井研县科技局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园区专项</w:t>
            </w:r>
          </w:p>
        </w:tc>
      </w:tr>
      <w:tr>
        <w:tblPrEx>
          <w:tblCellMar>
            <w:top w:w="0" w:type="dxa"/>
            <w:left w:w="108" w:type="dxa"/>
            <w:bottom w:w="0" w:type="dxa"/>
            <w:right w:w="108" w:type="dxa"/>
          </w:tblCellMar>
        </w:tblPrEx>
        <w:trPr>
          <w:trHeight w:val="584" w:hRule="atLeast"/>
        </w:trPr>
        <w:tc>
          <w:tcPr>
            <w:tcW w:w="71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15NYQ001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现代育种关键技术研究与优质高产配套系选育</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乐山市生猪产业技术研究院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市中区科技局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园区专项</w:t>
            </w:r>
          </w:p>
        </w:tc>
      </w:tr>
      <w:tr>
        <w:tblPrEx>
          <w:tblCellMar>
            <w:top w:w="0" w:type="dxa"/>
            <w:left w:w="108" w:type="dxa"/>
            <w:bottom w:w="0" w:type="dxa"/>
            <w:right w:w="108" w:type="dxa"/>
          </w:tblCellMar>
        </w:tblPrEx>
        <w:trPr>
          <w:trHeight w:val="1091"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15NCXY121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病死禽畜蝇蛆处理工艺的初步研究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产学研</w:t>
            </w:r>
          </w:p>
        </w:tc>
      </w:tr>
      <w:tr>
        <w:tblPrEx>
          <w:tblCellMar>
            <w:top w:w="0" w:type="dxa"/>
            <w:left w:w="108" w:type="dxa"/>
            <w:bottom w:w="0" w:type="dxa"/>
            <w:right w:w="108" w:type="dxa"/>
          </w:tblCellMar>
        </w:tblPrEx>
        <w:trPr>
          <w:trHeight w:val="155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15NZD105</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峨眉山枯叶蝶（Kallima inachus）寄主调查与人工饲养新技术</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重点研究</w:t>
            </w:r>
          </w:p>
        </w:tc>
      </w:tr>
      <w:tr>
        <w:tblPrEx>
          <w:tblCellMar>
            <w:top w:w="0" w:type="dxa"/>
            <w:left w:w="108" w:type="dxa"/>
            <w:bottom w:w="0" w:type="dxa"/>
            <w:right w:w="108" w:type="dxa"/>
          </w:tblCellMar>
        </w:tblPrEx>
        <w:trPr>
          <w:trHeight w:val="97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15NZD101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经济林木红椿优树选种与培育研究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975"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15NZD100</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雷电波特性及预测模型研究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1091"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15ZDY106</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乐山市农业固体废弃物可开发资源量的评估及其综合化利用模式研究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468" w:hRule="atLeast"/>
        </w:trPr>
        <w:tc>
          <w:tcPr>
            <w:tcW w:w="71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15NYQ026</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新型发酵香肠制品研究与开发</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四川天成食品有限公司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市中区发改局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园区专项</w:t>
            </w:r>
          </w:p>
        </w:tc>
      </w:tr>
      <w:tr>
        <w:tblPrEx>
          <w:tblCellMar>
            <w:top w:w="0" w:type="dxa"/>
            <w:left w:w="108" w:type="dxa"/>
            <w:bottom w:w="0" w:type="dxa"/>
            <w:right w:w="108" w:type="dxa"/>
          </w:tblCellMar>
        </w:tblPrEx>
        <w:trPr>
          <w:trHeight w:val="780"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67</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15SZD033</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彝族刺绣图案设计研究</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金口河区和平彝族乡成人文化技术学校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金口河教科局</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重点研究</w:t>
            </w:r>
          </w:p>
        </w:tc>
      </w:tr>
      <w:tr>
        <w:tblPrEx>
          <w:tblCellMar>
            <w:top w:w="0" w:type="dxa"/>
            <w:left w:w="108" w:type="dxa"/>
            <w:bottom w:w="0" w:type="dxa"/>
            <w:right w:w="108" w:type="dxa"/>
          </w:tblCellMar>
        </w:tblPrEx>
        <w:trPr>
          <w:trHeight w:val="584" w:hRule="atLeast"/>
        </w:trPr>
        <w:tc>
          <w:tcPr>
            <w:tcW w:w="71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68</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14NZD253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规模化猪场流行性传染病综合防控技术集成与示范</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四川蓝雁畜牧科技发展有限公司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井研县科技局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CellMar>
            <w:top w:w="0" w:type="dxa"/>
            <w:left w:w="108" w:type="dxa"/>
            <w:bottom w:w="0" w:type="dxa"/>
            <w:right w:w="108" w:type="dxa"/>
          </w:tblCellMar>
        </w:tblPrEx>
        <w:trPr>
          <w:trHeight w:val="584" w:hRule="atLeast"/>
        </w:trPr>
        <w:tc>
          <w:tcPr>
            <w:tcW w:w="71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69</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14NZD239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出口盐渍冻制作猪肉开发与利用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乐山市生猪产业技术研究院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市中区科技局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重点研究</w:t>
            </w:r>
          </w:p>
        </w:tc>
      </w:tr>
      <w:tr>
        <w:tblPrEx>
          <w:tblCellMar>
            <w:top w:w="0" w:type="dxa"/>
            <w:left w:w="108" w:type="dxa"/>
            <w:bottom w:w="0" w:type="dxa"/>
            <w:right w:w="108" w:type="dxa"/>
          </w:tblCellMar>
        </w:tblPrEx>
        <w:trPr>
          <w:trHeight w:val="935"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70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13NZD103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乐山地区豆鸡菇（鸡枞菌）人工驯化栽培</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bl>
    <w:p>
      <w:pPr>
        <w:rPr>
          <w:rFonts w:hint="eastAsia"/>
        </w:rPr>
      </w:pPr>
    </w:p>
    <w:p>
      <w:pPr>
        <w:rPr>
          <w:rFonts w:hint="eastAsia"/>
        </w:rPr>
      </w:pPr>
    </w:p>
    <w:p>
      <w:pPr>
        <w:widowControl/>
        <w:shd w:val="clear" w:color="auto" w:fill="FFFFFF"/>
        <w:rPr>
          <w:rFonts w:hint="eastAsia" w:ascii="仿宋" w:hAnsi="仿宋" w:eastAsia="仿宋" w:cs="宋体"/>
          <w:kern w:val="0"/>
          <w:sz w:val="30"/>
          <w:szCs w:val="30"/>
        </w:rPr>
      </w:pPr>
      <w:r>
        <w:rPr>
          <w:rFonts w:hint="eastAsia" w:ascii="仿宋" w:hAnsi="仿宋" w:eastAsia="仿宋" w:cs="宋体"/>
          <w:kern w:val="0"/>
          <w:sz w:val="30"/>
          <w:szCs w:val="30"/>
        </w:rPr>
        <w:t>附件2、乐山市农业农村领域科技项目拟结题退回资金项目清单</w:t>
      </w:r>
    </w:p>
    <w:p>
      <w:pPr>
        <w:widowControl/>
        <w:shd w:val="clear" w:color="auto" w:fill="FFFFFF"/>
        <w:ind w:firstLine="480"/>
        <w:rPr>
          <w:rFonts w:hint="eastAsia" w:ascii="仿宋" w:hAnsi="仿宋" w:eastAsia="仿宋" w:cs="宋体"/>
          <w:kern w:val="0"/>
          <w:sz w:val="30"/>
          <w:szCs w:val="30"/>
        </w:rPr>
      </w:pPr>
    </w:p>
    <w:tbl>
      <w:tblPr>
        <w:tblStyle w:val="4"/>
        <w:tblW w:w="11055" w:type="dxa"/>
        <w:tblInd w:w="-1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1"/>
        <w:gridCol w:w="3082"/>
        <w:gridCol w:w="2571"/>
        <w:gridCol w:w="1525"/>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05"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序号</w:t>
            </w:r>
          </w:p>
        </w:tc>
        <w:tc>
          <w:tcPr>
            <w:tcW w:w="1381"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立项编号</w:t>
            </w:r>
          </w:p>
        </w:tc>
        <w:tc>
          <w:tcPr>
            <w:tcW w:w="3082"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项目名称</w:t>
            </w:r>
          </w:p>
        </w:tc>
        <w:tc>
          <w:tcPr>
            <w:tcW w:w="2571"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申报单位</w:t>
            </w:r>
          </w:p>
        </w:tc>
        <w:tc>
          <w:tcPr>
            <w:tcW w:w="1525"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归口部门</w:t>
            </w:r>
          </w:p>
        </w:tc>
        <w:tc>
          <w:tcPr>
            <w:tcW w:w="1791"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05"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8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16NFP083</w:t>
            </w:r>
          </w:p>
        </w:tc>
        <w:tc>
          <w:tcPr>
            <w:tcW w:w="3082"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生态循环养殖技术试验及应用</w:t>
            </w:r>
          </w:p>
        </w:tc>
        <w:tc>
          <w:tcPr>
            <w:tcW w:w="257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沐川县立春农产品有限公司</w:t>
            </w:r>
          </w:p>
        </w:tc>
        <w:tc>
          <w:tcPr>
            <w:tcW w:w="1525"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沐川县科技局</w:t>
            </w:r>
          </w:p>
        </w:tc>
        <w:tc>
          <w:tcPr>
            <w:tcW w:w="179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科技扶贫</w:t>
            </w:r>
          </w:p>
        </w:tc>
      </w:tr>
    </w:tbl>
    <w:p>
      <w:pPr>
        <w:widowControl/>
        <w:shd w:val="clear" w:color="auto" w:fill="FFFFFF"/>
        <w:ind w:firstLine="480"/>
        <w:rPr>
          <w:rFonts w:ascii="仿宋" w:hAnsi="仿宋" w:eastAsia="仿宋" w:cs="宋体"/>
          <w:kern w:val="0"/>
          <w:sz w:val="30"/>
          <w:szCs w:val="30"/>
        </w:rPr>
      </w:pPr>
    </w:p>
    <w:p>
      <w:pPr>
        <w:widowControl/>
        <w:shd w:val="clear" w:color="auto" w:fill="FFFFFF"/>
        <w:rPr>
          <w:rFonts w:ascii="仿宋" w:hAnsi="仿宋" w:eastAsia="仿宋" w:cs="宋体"/>
          <w:kern w:val="0"/>
          <w:sz w:val="30"/>
          <w:szCs w:val="30"/>
        </w:rPr>
      </w:pPr>
      <w:r>
        <w:rPr>
          <w:rFonts w:hint="eastAsia" w:ascii="仿宋" w:hAnsi="仿宋" w:eastAsia="仿宋" w:cs="宋体"/>
          <w:kern w:val="0"/>
          <w:sz w:val="30"/>
          <w:szCs w:val="30"/>
        </w:rPr>
        <w:t>附件3、乐山市农业农村领域科技项目拟终止退回资金项目清单</w:t>
      </w:r>
    </w:p>
    <w:tbl>
      <w:tblPr>
        <w:tblStyle w:val="4"/>
        <w:tblW w:w="10426" w:type="dxa"/>
        <w:tblInd w:w="-10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302"/>
        <w:gridCol w:w="2907"/>
        <w:gridCol w:w="2425"/>
        <w:gridCol w:w="1438"/>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65"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序号</w:t>
            </w:r>
          </w:p>
        </w:tc>
        <w:tc>
          <w:tcPr>
            <w:tcW w:w="1302"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立项编号</w:t>
            </w:r>
          </w:p>
        </w:tc>
        <w:tc>
          <w:tcPr>
            <w:tcW w:w="2907"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项目名称</w:t>
            </w:r>
          </w:p>
        </w:tc>
        <w:tc>
          <w:tcPr>
            <w:tcW w:w="2425"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申报单位</w:t>
            </w:r>
          </w:p>
        </w:tc>
        <w:tc>
          <w:tcPr>
            <w:tcW w:w="1438"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归口部门</w:t>
            </w:r>
          </w:p>
        </w:tc>
        <w:tc>
          <w:tcPr>
            <w:tcW w:w="1689" w:type="dxa"/>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665"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02"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16NZD026</w:t>
            </w:r>
          </w:p>
        </w:tc>
        <w:tc>
          <w:tcPr>
            <w:tcW w:w="2907"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苦竹笋优质高效培育技术研究与应用</w:t>
            </w:r>
          </w:p>
        </w:tc>
        <w:tc>
          <w:tcPr>
            <w:tcW w:w="2425"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乐山市中心苗圃</w:t>
            </w:r>
          </w:p>
        </w:tc>
        <w:tc>
          <w:tcPr>
            <w:tcW w:w="1438"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乐山市林业局</w:t>
            </w:r>
          </w:p>
        </w:tc>
        <w:tc>
          <w:tcPr>
            <w:tcW w:w="168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665"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302"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16NZD036</w:t>
            </w:r>
          </w:p>
        </w:tc>
        <w:tc>
          <w:tcPr>
            <w:tcW w:w="2907"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甲烷氧化菌的分离及堆肥过程中CH4减排的研究</w:t>
            </w:r>
          </w:p>
        </w:tc>
        <w:tc>
          <w:tcPr>
            <w:tcW w:w="2425"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乐山师范学院</w:t>
            </w:r>
          </w:p>
        </w:tc>
        <w:tc>
          <w:tcPr>
            <w:tcW w:w="1438"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乐山市科技局</w:t>
            </w:r>
          </w:p>
        </w:tc>
        <w:tc>
          <w:tcPr>
            <w:tcW w:w="168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重点研究</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3177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72"/>
    <w:rsid w:val="000B28E1"/>
    <w:rsid w:val="00140CC3"/>
    <w:rsid w:val="002266BE"/>
    <w:rsid w:val="00251724"/>
    <w:rsid w:val="002D0AFE"/>
    <w:rsid w:val="00333CC0"/>
    <w:rsid w:val="00490AFC"/>
    <w:rsid w:val="004D47E6"/>
    <w:rsid w:val="005B00F7"/>
    <w:rsid w:val="00830A3B"/>
    <w:rsid w:val="00845736"/>
    <w:rsid w:val="00A90BF0"/>
    <w:rsid w:val="00AD5927"/>
    <w:rsid w:val="00B66AA8"/>
    <w:rsid w:val="00B97C2D"/>
    <w:rsid w:val="00D55A72"/>
    <w:rsid w:val="00DF1F07"/>
    <w:rsid w:val="00E33ACE"/>
    <w:rsid w:val="00EA7A68"/>
    <w:rsid w:val="124D4079"/>
    <w:rsid w:val="247D3E96"/>
    <w:rsid w:val="356E28A8"/>
    <w:rsid w:val="3AB259D2"/>
    <w:rsid w:val="4DD9591D"/>
    <w:rsid w:val="77A0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2"/>
    <w:unhideWhenUsed/>
    <w:qFormat/>
    <w:uiPriority w:val="99"/>
    <w:pPr>
      <w:tabs>
        <w:tab w:val="center" w:pos="4153"/>
        <w:tab w:val="right" w:pos="8306"/>
      </w:tabs>
      <w:snapToGrid w:val="0"/>
      <w:jc w:val="left"/>
    </w:pPr>
    <w:rPr>
      <w:sz w:val="18"/>
      <w:szCs w:val="18"/>
    </w:rPr>
  </w:style>
  <w:style w:type="paragraph" w:styleId="3">
    <w:name w:val="header"/>
    <w:basedOn w:val="1"/>
    <w:link w:val="3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8">
    <w:name w:val="font5"/>
    <w:basedOn w:val="1"/>
    <w:qFormat/>
    <w:uiPriority w:val="0"/>
    <w:pPr>
      <w:widowControl/>
      <w:spacing w:before="100" w:beforeAutospacing="1" w:after="100" w:afterAutospacing="1"/>
      <w:jc w:val="left"/>
    </w:pPr>
    <w:rPr>
      <w:rFonts w:ascii="楷体" w:hAnsi="楷体" w:eastAsia="楷体" w:cs="宋体"/>
      <w:color w:val="000000"/>
      <w:kern w:val="0"/>
      <w:sz w:val="22"/>
    </w:rPr>
  </w:style>
  <w:style w:type="paragraph" w:customStyle="1" w:styleId="9">
    <w:name w:val="font6"/>
    <w:basedOn w:val="1"/>
    <w:qFormat/>
    <w:uiPriority w:val="0"/>
    <w:pPr>
      <w:widowControl/>
      <w:spacing w:before="100" w:beforeAutospacing="1" w:after="100" w:afterAutospacing="1"/>
      <w:jc w:val="left"/>
    </w:pPr>
    <w:rPr>
      <w:rFonts w:ascii="宋体" w:hAnsi="宋体" w:eastAsia="宋体" w:cs="宋体"/>
      <w:color w:val="FF0000"/>
      <w:kern w:val="0"/>
      <w:sz w:val="22"/>
    </w:rPr>
  </w:style>
  <w:style w:type="paragraph" w:customStyle="1" w:styleId="10">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1">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xl64"/>
    <w:basedOn w:val="1"/>
    <w:qFormat/>
    <w:uiPriority w:val="0"/>
    <w:pPr>
      <w:widowControl/>
      <w:spacing w:before="100" w:beforeAutospacing="1" w:after="100" w:afterAutospacing="1"/>
      <w:jc w:val="left"/>
    </w:pPr>
    <w:rPr>
      <w:rFonts w:ascii="楷体" w:hAnsi="楷体" w:eastAsia="楷体" w:cs="宋体"/>
      <w:kern w:val="0"/>
      <w:sz w:val="24"/>
      <w:szCs w:val="24"/>
    </w:rPr>
  </w:style>
  <w:style w:type="paragraph" w:customStyle="1" w:styleId="13">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8"/>
      <w:szCs w:val="28"/>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18">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8"/>
      <w:szCs w:val="28"/>
    </w:rPr>
  </w:style>
  <w:style w:type="paragraph" w:customStyle="1" w:styleId="1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2">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 w:hAnsi="仿宋" w:eastAsia="仿宋" w:cs="宋体"/>
      <w:kern w:val="0"/>
      <w:sz w:val="28"/>
      <w:szCs w:val="28"/>
    </w:rPr>
  </w:style>
  <w:style w:type="paragraph" w:customStyle="1" w:styleId="23">
    <w:name w:val="xl75"/>
    <w:basedOn w:val="1"/>
    <w:qFormat/>
    <w:uiPriority w:val="0"/>
    <w:pPr>
      <w:widowControl/>
      <w:spacing w:before="100" w:beforeAutospacing="1" w:after="100" w:afterAutospacing="1"/>
      <w:jc w:val="left"/>
    </w:pPr>
    <w:rPr>
      <w:rFonts w:ascii="仿宋" w:hAnsi="仿宋" w:eastAsia="仿宋" w:cs="宋体"/>
      <w:kern w:val="0"/>
      <w:sz w:val="28"/>
      <w:szCs w:val="28"/>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FF0000"/>
      <w:kern w:val="0"/>
      <w:sz w:val="28"/>
      <w:szCs w:val="28"/>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4"/>
      <w:szCs w:val="24"/>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FF0000"/>
      <w:kern w:val="0"/>
      <w:sz w:val="24"/>
      <w:szCs w:val="24"/>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b/>
      <w:bCs/>
      <w:kern w:val="0"/>
      <w:sz w:val="32"/>
      <w:szCs w:val="32"/>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b/>
      <w:bCs/>
      <w:kern w:val="0"/>
      <w:sz w:val="32"/>
      <w:szCs w:val="32"/>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4"/>
      <w:szCs w:val="24"/>
    </w:rPr>
  </w:style>
  <w:style w:type="character" w:customStyle="1" w:styleId="31">
    <w:name w:val="页眉 Char"/>
    <w:basedOn w:val="5"/>
    <w:link w:val="3"/>
    <w:semiHidden/>
    <w:qFormat/>
    <w:uiPriority w:val="99"/>
    <w:rPr>
      <w:sz w:val="18"/>
      <w:szCs w:val="18"/>
    </w:rPr>
  </w:style>
  <w:style w:type="character" w:customStyle="1" w:styleId="32">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725</Words>
  <Characters>4137</Characters>
  <Lines>34</Lines>
  <Paragraphs>9</Paragraphs>
  <TotalTime>24</TotalTime>
  <ScaleCrop>false</ScaleCrop>
  <LinksUpToDate>false</LinksUpToDate>
  <CharactersWithSpaces>4853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2020-05-13T14:41:00Z</dcterms:created>
  <dc:creator>User</dc:creator>
  <cp:lastModifiedBy>MorePHP</cp:lastModifiedBy>
  <cp:lastPrinted>2020-05-14T01:51:00Z</cp:lastPrinted>
  <dcterms:modified xsi:type="dcterms:W3CDTF">2020-05-14T08:14:05Z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