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ascii="方正黑体_GBK" w:hAnsi="宋体" w:eastAsia="方正黑体_GBK"/>
          <w:sz w:val="33"/>
          <w:szCs w:val="33"/>
          <w:lang w:val="zh-CN"/>
        </w:rPr>
      </w:pPr>
      <w:r>
        <w:rPr>
          <w:rFonts w:hint="eastAsia" w:ascii="方正黑体_GBK" w:hAnsi="宋体" w:eastAsia="方正黑体_GBK"/>
          <w:sz w:val="33"/>
          <w:szCs w:val="33"/>
          <w:lang w:val="zh-CN"/>
        </w:rPr>
        <w:t>附件</w:t>
      </w:r>
      <w:r>
        <w:rPr>
          <w:rFonts w:hint="eastAsia" w:eastAsia="方正黑体_GBK"/>
          <w:sz w:val="33"/>
          <w:szCs w:val="33"/>
        </w:rPr>
        <w:t>1</w:t>
      </w:r>
    </w:p>
    <w:p>
      <w:pPr>
        <w:widowControl/>
        <w:spacing w:line="580" w:lineRule="exact"/>
        <w:contextualSpacing/>
        <w:jc w:val="center"/>
        <w:rPr>
          <w:rFonts w:hint="default" w:ascii="方正小标宋简体" w:hAnsi="宋体" w:eastAsia="方正小标宋简体"/>
          <w:sz w:val="44"/>
          <w:szCs w:val="44"/>
          <w:shd w:val="clear" w:color="auto" w:fill="FFFFFF"/>
          <w:lang w:val="en-US" w:eastAsia="zh-CN"/>
        </w:rPr>
      </w:pPr>
      <w:r>
        <w:rPr>
          <w:rFonts w:hint="eastAsia" w:ascii="方正小标宋简体" w:hAnsi="宋体" w:eastAsia="方正小标宋简体"/>
          <w:sz w:val="44"/>
          <w:szCs w:val="44"/>
          <w:shd w:val="clear" w:color="auto" w:fill="FFFFFF"/>
          <w:lang w:val="en-US" w:eastAsia="zh-CN"/>
        </w:rPr>
        <w:t>乐山市科学技术局</w:t>
      </w:r>
    </w:p>
    <w:p>
      <w:pPr>
        <w:widowControl/>
        <w:spacing w:line="580" w:lineRule="exact"/>
        <w:contextualSpacing/>
        <w:jc w:val="center"/>
        <w:rPr>
          <w:rFonts w:ascii="方正小标宋简体" w:eastAsia="方正小标宋简体"/>
          <w:sz w:val="44"/>
          <w:szCs w:val="44"/>
          <w:shd w:val="clear" w:color="auto" w:fill="FFFFFF"/>
        </w:rPr>
      </w:pPr>
      <w:r>
        <w:rPr>
          <w:rFonts w:hint="eastAsia" w:ascii="方正小标宋简体" w:hAnsi="宋体" w:eastAsia="方正小标宋简体"/>
          <w:sz w:val="44"/>
          <w:szCs w:val="44"/>
          <w:shd w:val="clear" w:color="auto" w:fill="FFFFFF"/>
        </w:rPr>
        <w:t>市级部门整体绩效自评报告</w:t>
      </w:r>
    </w:p>
    <w:p>
      <w:pPr>
        <w:widowControl/>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黑体" w:hAnsi="黑体" w:eastAsia="黑体" w:cs="宋体"/>
          <w:color w:val="000000"/>
          <w:kern w:val="0"/>
          <w:szCs w:val="32"/>
          <w:shd w:val="clear" w:color="auto" w:fill="FFFFFF"/>
          <w:lang w:val="zh-CN"/>
        </w:rPr>
      </w:pPr>
      <w:r>
        <w:rPr>
          <w:rFonts w:hint="eastAsia" w:ascii="黑体" w:hAnsi="黑体" w:eastAsia="黑体" w:cs="宋体"/>
          <w:color w:val="000000"/>
          <w:kern w:val="0"/>
          <w:szCs w:val="32"/>
          <w:shd w:val="clear" w:color="auto" w:fill="FFFFFF"/>
        </w:rPr>
        <w:t>一、</w:t>
      </w:r>
      <w:r>
        <w:rPr>
          <w:rFonts w:hint="eastAsia" w:ascii="黑体" w:hAnsi="黑体" w:eastAsia="黑体" w:cs="宋体"/>
          <w:color w:val="000000"/>
          <w:kern w:val="0"/>
          <w:szCs w:val="32"/>
          <w:shd w:val="clear" w:color="auto" w:fill="FFFFFF"/>
          <w:lang w:val="zh-CN"/>
        </w:rPr>
        <w:t>部门基本情况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乐山市科技局下属二级单位 4 个，其中行政单位 1 个，参照公法管理的事业单位 0 个，其他事业单位 3 个。</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纳入乐山市科技局202</w:t>
      </w:r>
      <w:r>
        <w:rPr>
          <w:rFonts w:hint="eastAsia" w:ascii="楷体_GB2312" w:hAnsi="宋体" w:eastAsia="楷体_GB2312" w:cs="宋体"/>
          <w:color w:val="000000"/>
          <w:kern w:val="0"/>
          <w:szCs w:val="32"/>
          <w:shd w:val="clear" w:color="auto" w:fill="FFFFFF"/>
          <w:lang w:val="en-US" w:eastAsia="zh-CN"/>
        </w:rPr>
        <w:t>3</w:t>
      </w:r>
      <w:r>
        <w:rPr>
          <w:rFonts w:hint="eastAsia" w:ascii="楷体_GB2312" w:hAnsi="宋体" w:eastAsia="楷体_GB2312" w:cs="宋体"/>
          <w:color w:val="000000"/>
          <w:kern w:val="0"/>
          <w:szCs w:val="32"/>
          <w:shd w:val="clear" w:color="auto" w:fill="FFFFFF"/>
          <w:lang w:val="zh-CN"/>
        </w:rPr>
        <w:t>年度部门整体绩效自范围的二级预算单包括：</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1056" w:firstLineChars="33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乐山市科学技术局机关</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1056" w:firstLineChars="33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乐山市科学技术情报研究所</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1056" w:firstLineChars="33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乐山市生产力促进中心</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1056" w:firstLineChars="33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乐山市科技发展中心</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highlight w:val="none"/>
          <w:shd w:val="clear" w:color="auto" w:fill="FFFFFF"/>
          <w:lang w:val="zh-CN"/>
        </w:rPr>
      </w:pPr>
      <w:r>
        <w:rPr>
          <w:rFonts w:hint="eastAsia" w:ascii="楷体_GB2312" w:hAnsi="宋体" w:eastAsia="楷体_GB2312" w:cs="宋体"/>
          <w:color w:val="000000"/>
          <w:kern w:val="0"/>
          <w:szCs w:val="32"/>
          <w:highlight w:val="none"/>
          <w:shd w:val="clear" w:color="auto" w:fill="FFFFFF"/>
          <w:lang w:val="zh-CN"/>
        </w:rPr>
        <w:t>机构职能和人员概况。</w:t>
      </w:r>
    </w:p>
    <w:p>
      <w:pPr>
        <w:keepNext w:val="0"/>
        <w:keepLines w:val="0"/>
        <w:pageBreakBefore w:val="0"/>
        <w:widowControl/>
        <w:numPr>
          <w:ilvl w:val="0"/>
          <w:numId w:val="0"/>
        </w:numPr>
        <w:tabs>
          <w:tab w:val="left" w:pos="767"/>
        </w:tabs>
        <w:kinsoku/>
        <w:wordWrap/>
        <w:overflowPunct/>
        <w:topLinePunct w:val="0"/>
        <w:autoSpaceDE/>
        <w:autoSpaceDN/>
        <w:bidi w:val="0"/>
        <w:adjustRightInd w:val="0"/>
        <w:snapToGrid w:val="0"/>
        <w:spacing w:line="360" w:lineRule="auto"/>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en-US" w:eastAsia="zh-CN"/>
        </w:rPr>
        <w:tab/>
      </w:r>
      <w:r>
        <w:rPr>
          <w:rFonts w:hint="eastAsia" w:ascii="楷体_GB2312" w:hAnsi="宋体" w:eastAsia="楷体_GB2312" w:cs="宋体"/>
          <w:color w:val="000000"/>
          <w:kern w:val="0"/>
          <w:szCs w:val="32"/>
          <w:shd w:val="clear" w:color="auto" w:fill="FFFFFF"/>
          <w:lang w:val="zh-CN"/>
        </w:rPr>
        <w:t>乐山市学技术局</w:t>
      </w:r>
      <w:r>
        <w:rPr>
          <w:rFonts w:hint="eastAsia" w:ascii="楷体_GB2312" w:hAnsi="宋体" w:eastAsia="楷体_GB2312" w:cs="宋体"/>
          <w:color w:val="000000"/>
          <w:kern w:val="0"/>
          <w:szCs w:val="32"/>
          <w:shd w:val="clear" w:color="auto" w:fill="FFFFFF"/>
          <w:lang w:val="zh-CN" w:eastAsia="zh-CN"/>
        </w:rPr>
        <w:t>的</w:t>
      </w:r>
      <w:r>
        <w:rPr>
          <w:rFonts w:hint="eastAsia" w:ascii="楷体_GB2312" w:hAnsi="宋体" w:eastAsia="楷体_GB2312" w:cs="宋体"/>
          <w:color w:val="000000"/>
          <w:kern w:val="0"/>
          <w:szCs w:val="32"/>
          <w:shd w:val="clear" w:color="auto" w:fill="FFFFFF"/>
          <w:lang w:val="zh-CN"/>
        </w:rPr>
        <w:t>主要职能有：</w:t>
      </w:r>
    </w:p>
    <w:p>
      <w:pPr>
        <w:keepNext w:val="0"/>
        <w:keepLines w:val="0"/>
        <w:pageBreakBefore w:val="0"/>
        <w:widowControl/>
        <w:numPr>
          <w:ilvl w:val="0"/>
          <w:numId w:val="0"/>
        </w:numPr>
        <w:tabs>
          <w:tab w:val="left" w:pos="767"/>
        </w:tabs>
        <w:kinsoku/>
        <w:wordWrap/>
        <w:overflowPunct/>
        <w:topLinePunct w:val="0"/>
        <w:autoSpaceDE/>
        <w:autoSpaceDN/>
        <w:bidi w:val="0"/>
        <w:adjustRightInd w:val="0"/>
        <w:snapToGrid w:val="0"/>
        <w:spacing w:line="360" w:lineRule="auto"/>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en-US" w:eastAsia="zh-CN"/>
        </w:rPr>
        <w:tab/>
      </w:r>
      <w:r>
        <w:rPr>
          <w:rFonts w:hint="eastAsia" w:ascii="楷体_GB2312" w:hAnsi="宋体" w:eastAsia="楷体_GB2312" w:cs="宋体"/>
          <w:color w:val="000000"/>
          <w:kern w:val="0"/>
          <w:szCs w:val="32"/>
          <w:shd w:val="clear" w:color="auto" w:fill="FFFFFF"/>
          <w:lang w:val="zh-CN" w:eastAsia="zh-CN"/>
        </w:rPr>
        <w:t>（</w:t>
      </w:r>
      <w:r>
        <w:rPr>
          <w:rFonts w:hint="eastAsia" w:ascii="楷体_GB2312" w:hAnsi="宋体" w:eastAsia="楷体_GB2312" w:cs="宋体"/>
          <w:color w:val="000000"/>
          <w:kern w:val="0"/>
          <w:szCs w:val="32"/>
          <w:shd w:val="clear" w:color="auto" w:fill="FFFFFF"/>
          <w:lang w:val="en-US" w:eastAsia="zh-CN"/>
        </w:rPr>
        <w:t>1</w:t>
      </w:r>
      <w:r>
        <w:rPr>
          <w:rFonts w:hint="eastAsia" w:ascii="楷体_GB2312" w:hAnsi="宋体" w:eastAsia="楷体_GB2312" w:cs="宋体"/>
          <w:color w:val="000000"/>
          <w:kern w:val="0"/>
          <w:szCs w:val="32"/>
          <w:shd w:val="clear" w:color="auto" w:fill="FFFFFF"/>
          <w:lang w:val="zh-CN" w:eastAsia="zh-CN"/>
        </w:rPr>
        <w:t>）</w:t>
      </w:r>
      <w:r>
        <w:rPr>
          <w:rFonts w:hint="eastAsia" w:ascii="楷体_GB2312" w:hAnsi="宋体" w:eastAsia="楷体_GB2312" w:cs="宋体"/>
          <w:color w:val="000000"/>
          <w:kern w:val="0"/>
          <w:szCs w:val="32"/>
          <w:shd w:val="clear" w:color="auto" w:fill="FFFFFF"/>
          <w:lang w:val="zh-CN"/>
        </w:rPr>
        <w:t>贯彻执行国家有关科技发展的方针政策和法律法规，起草全市有关科技发展的规章制度和政策措施，并组织实施和监督检查。</w:t>
      </w:r>
    </w:p>
    <w:p>
      <w:pPr>
        <w:keepNext w:val="0"/>
        <w:keepLines w:val="0"/>
        <w:pageBreakBefore w:val="0"/>
        <w:widowControl/>
        <w:numPr>
          <w:ilvl w:val="0"/>
          <w:numId w:val="0"/>
        </w:numPr>
        <w:tabs>
          <w:tab w:val="left" w:pos="767"/>
        </w:tabs>
        <w:kinsoku/>
        <w:wordWrap/>
        <w:overflowPunct/>
        <w:topLinePunct w:val="0"/>
        <w:autoSpaceDE/>
        <w:autoSpaceDN/>
        <w:bidi w:val="0"/>
        <w:adjustRightInd w:val="0"/>
        <w:snapToGrid w:val="0"/>
        <w:spacing w:line="360" w:lineRule="auto"/>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en-US" w:eastAsia="zh-CN"/>
        </w:rPr>
        <w:tab/>
      </w:r>
      <w:r>
        <w:rPr>
          <w:rFonts w:hint="eastAsia" w:ascii="楷体_GB2312" w:hAnsi="宋体" w:eastAsia="楷体_GB2312" w:cs="宋体"/>
          <w:color w:val="000000"/>
          <w:kern w:val="0"/>
          <w:szCs w:val="32"/>
          <w:shd w:val="clear" w:color="auto" w:fill="FFFFFF"/>
          <w:lang w:val="zh-CN"/>
        </w:rPr>
        <w:t>（2）牵头拟订和实施全市科技发展规划，提出全市科技发展的重大布局和优先领域，统筹协调重大社会公益性技术研究及关键技术、共性技术研究，牵头组织经济社会发展重要领域的重大关键技术攻关，负责组织拟订并实施重点研究、成果转化、软科学研究等计划。</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（3）推进科技体制改革，提出科技体制改革的政策措施、相关科研机构组建或调整的建议，优化科研机构布局，会同有关部门拟订全市科技人才队伍建设规划并提出相关政策建议。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 xml:space="preserve">   （4）推进全市科技创新体系建设，牵头会同有关部门拟订促进产学研结合的政策措施，提出科研条件保障规划和政策措施建议，推进科技基础条件平台（基地）建设和科技资源共享。</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 xml:space="preserve">   （5）负责本部门预算中的科技经费预决算及经费使用的监督管理，会同有关部门提出强化科技投入及优化科技资源配置的政策措施建议。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 xml:space="preserve">   （6）拟订科技成果推广、科技奖励、促进技术市场和科技中介组织发展的政策措施，指导科技成果转化工作，组织相关重大科技成果应用示范，负责组织市科技进步奖的评审和科技成果管理、科技保密以及技术市场工作，指导科技中介组织的建设；承担科技评估管理和科技统计工作。</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 xml:space="preserve">   （7）会同有关部门拟订高新技术产业及园区发展的规划和政策措施，负责组织高新技术企业申报、指导高新技术产业开发园区、基地的建设，推动企业自主创新能力建设。</w:t>
      </w:r>
    </w:p>
    <w:p>
      <w:pPr>
        <w:keepNext w:val="0"/>
        <w:keepLines w:val="0"/>
        <w:pageBreakBefore w:val="0"/>
        <w:widowControl/>
        <w:tabs>
          <w:tab w:val="left" w:pos="3840"/>
        </w:tabs>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highlight w:val="none"/>
          <w:shd w:val="clear" w:color="auto" w:fill="FFFFFF"/>
          <w:lang w:val="zh-CN"/>
        </w:rPr>
      </w:pPr>
      <w:r>
        <w:rPr>
          <w:rFonts w:hint="eastAsia" w:ascii="楷体_GB2312" w:hAnsi="宋体" w:eastAsia="楷体_GB2312" w:cs="宋体"/>
          <w:color w:val="000000"/>
          <w:kern w:val="0"/>
          <w:szCs w:val="32"/>
          <w:highlight w:val="none"/>
          <w:shd w:val="clear" w:color="auto" w:fill="FFFFFF"/>
          <w:lang w:val="zh-CN"/>
        </w:rPr>
        <w:t>截止 202</w:t>
      </w:r>
      <w:r>
        <w:rPr>
          <w:rFonts w:hint="eastAsia" w:ascii="楷体_GB2312" w:hAnsi="宋体" w:eastAsia="楷体_GB2312" w:cs="宋体"/>
          <w:color w:val="000000"/>
          <w:kern w:val="0"/>
          <w:szCs w:val="32"/>
          <w:highlight w:val="none"/>
          <w:shd w:val="clear" w:color="auto" w:fill="FFFFFF"/>
          <w:lang w:val="en-US" w:eastAsia="zh-CN"/>
        </w:rPr>
        <w:t>3</w:t>
      </w:r>
      <w:r>
        <w:rPr>
          <w:rFonts w:hint="eastAsia" w:ascii="楷体_GB2312" w:hAnsi="宋体" w:eastAsia="楷体_GB2312" w:cs="宋体"/>
          <w:color w:val="000000"/>
          <w:kern w:val="0"/>
          <w:szCs w:val="32"/>
          <w:highlight w:val="none"/>
          <w:shd w:val="clear" w:color="auto" w:fill="FFFFFF"/>
          <w:lang w:val="zh-CN"/>
        </w:rPr>
        <w:t xml:space="preserve"> 年 12 月 31 日我局实际人员总数</w:t>
      </w:r>
      <w:r>
        <w:rPr>
          <w:rFonts w:hint="eastAsia" w:ascii="楷体_GB2312" w:hAnsi="宋体" w:eastAsia="楷体_GB2312" w:cs="宋体"/>
          <w:color w:val="000000"/>
          <w:kern w:val="0"/>
          <w:szCs w:val="32"/>
          <w:highlight w:val="none"/>
          <w:shd w:val="clear" w:color="auto" w:fill="FFFFFF"/>
          <w:lang w:val="en-US" w:eastAsia="zh-CN"/>
        </w:rPr>
        <w:t>85</w:t>
      </w:r>
      <w:r>
        <w:rPr>
          <w:rFonts w:hint="eastAsia" w:ascii="楷体_GB2312" w:hAnsi="宋体" w:eastAsia="楷体_GB2312" w:cs="宋体"/>
          <w:color w:val="000000"/>
          <w:kern w:val="0"/>
          <w:szCs w:val="32"/>
          <w:highlight w:val="none"/>
          <w:shd w:val="clear" w:color="auto" w:fill="FFFFFF"/>
          <w:lang w:val="zh-CN"/>
        </w:rPr>
        <w:t xml:space="preserve">人，其中：在职 </w:t>
      </w:r>
      <w:r>
        <w:rPr>
          <w:rFonts w:hint="eastAsia" w:ascii="楷体_GB2312" w:hAnsi="宋体" w:eastAsia="楷体_GB2312" w:cs="宋体"/>
          <w:color w:val="000000"/>
          <w:kern w:val="0"/>
          <w:szCs w:val="32"/>
          <w:highlight w:val="none"/>
          <w:shd w:val="clear" w:color="auto" w:fill="FFFFFF"/>
          <w:lang w:val="en-US" w:eastAsia="zh-CN"/>
        </w:rPr>
        <w:t>48</w:t>
      </w:r>
      <w:r>
        <w:rPr>
          <w:rFonts w:hint="eastAsia" w:ascii="楷体_GB2312" w:hAnsi="宋体" w:eastAsia="楷体_GB2312" w:cs="宋体"/>
          <w:color w:val="000000"/>
          <w:kern w:val="0"/>
          <w:szCs w:val="32"/>
          <w:highlight w:val="none"/>
          <w:shd w:val="clear" w:color="auto" w:fill="FFFFFF"/>
          <w:lang w:val="zh-CN"/>
        </w:rPr>
        <w:t>人，退休</w:t>
      </w:r>
      <w:r>
        <w:rPr>
          <w:rFonts w:hint="eastAsia" w:ascii="楷体_GB2312" w:hAnsi="宋体" w:eastAsia="楷体_GB2312" w:cs="宋体"/>
          <w:color w:val="000000"/>
          <w:kern w:val="0"/>
          <w:szCs w:val="32"/>
          <w:highlight w:val="none"/>
          <w:shd w:val="clear" w:color="auto" w:fill="FFFFFF"/>
          <w:lang w:val="en-US" w:eastAsia="zh-CN"/>
        </w:rPr>
        <w:t>37</w:t>
      </w:r>
      <w:r>
        <w:rPr>
          <w:rFonts w:hint="eastAsia" w:ascii="楷体_GB2312" w:hAnsi="宋体" w:eastAsia="楷体_GB2312" w:cs="宋体"/>
          <w:color w:val="000000"/>
          <w:kern w:val="0"/>
          <w:szCs w:val="32"/>
          <w:highlight w:val="none"/>
          <w:shd w:val="clear" w:color="auto" w:fill="FFFFFF"/>
          <w:lang w:val="zh-CN"/>
        </w:rPr>
        <w:t>人。</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年度主要工作任务。</w:t>
      </w:r>
    </w:p>
    <w:p>
      <w:pPr>
        <w:pStyle w:val="6"/>
        <w:keepNext w:val="0"/>
        <w:keepLines w:val="0"/>
        <w:pageBreakBefore w:val="0"/>
        <w:kinsoku/>
        <w:wordWrap/>
        <w:overflowPunct/>
        <w:topLinePunct w:val="0"/>
        <w:autoSpaceDE/>
        <w:autoSpaceDN/>
        <w:bidi w:val="0"/>
        <w:spacing w:line="360" w:lineRule="auto"/>
        <w:ind w:firstLine="420" w:firstLineChars="0"/>
        <w:textAlignment w:val="auto"/>
        <w:rPr>
          <w:rFonts w:hint="eastAsia" w:ascii="楷体_GB2312" w:hAnsi="宋体" w:eastAsia="楷体_GB2312" w:cs="宋体"/>
          <w:b w:val="0"/>
          <w:color w:val="000000"/>
          <w:kern w:val="0"/>
          <w:sz w:val="32"/>
          <w:szCs w:val="32"/>
          <w:highlight w:val="none"/>
          <w:shd w:val="clear" w:color="auto" w:fill="FFFFFF"/>
          <w:lang w:val="en-US" w:eastAsia="zh-CN" w:bidi="ar-SA"/>
        </w:rPr>
      </w:pPr>
      <w:r>
        <w:rPr>
          <w:rFonts w:hint="eastAsia" w:ascii="楷体_GB2312" w:hAnsi="宋体" w:eastAsia="楷体_GB2312" w:cs="宋体"/>
          <w:b w:val="0"/>
          <w:color w:val="000000"/>
          <w:kern w:val="0"/>
          <w:sz w:val="32"/>
          <w:szCs w:val="32"/>
          <w:highlight w:val="none"/>
          <w:shd w:val="clear" w:color="auto" w:fill="FFFFFF"/>
          <w:lang w:val="en-US" w:eastAsia="zh-CN" w:bidi="ar-SA"/>
        </w:rPr>
        <w:t>本部门2022年度主要任务包含4项。</w:t>
      </w:r>
    </w:p>
    <w:p>
      <w:pPr>
        <w:pStyle w:val="6"/>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楷体_GB2312" w:hAnsi="宋体" w:eastAsia="楷体_GB2312" w:cs="宋体"/>
          <w:b w:val="0"/>
          <w:color w:val="000000"/>
          <w:kern w:val="0"/>
          <w:sz w:val="32"/>
          <w:szCs w:val="32"/>
          <w:highlight w:val="none"/>
          <w:shd w:val="clear" w:color="auto" w:fill="FFFFFF"/>
          <w:lang w:val="zh-CN" w:eastAsia="zh-CN" w:bidi="ar-SA"/>
        </w:rPr>
      </w:pPr>
      <w:r>
        <w:rPr>
          <w:rFonts w:hint="eastAsia" w:ascii="楷体_GB2312" w:hAnsi="宋体" w:eastAsia="楷体_GB2312" w:cs="宋体"/>
          <w:b w:val="0"/>
          <w:color w:val="000000"/>
          <w:kern w:val="0"/>
          <w:sz w:val="32"/>
          <w:szCs w:val="32"/>
          <w:highlight w:val="none"/>
          <w:shd w:val="clear" w:color="auto" w:fill="FFFFFF"/>
          <w:lang w:val="en-US" w:eastAsia="zh-CN" w:bidi="ar-SA"/>
        </w:rPr>
        <w:t>(1)</w:t>
      </w:r>
      <w:r>
        <w:rPr>
          <w:rFonts w:hint="eastAsia" w:ascii="楷体_GB2312" w:hAnsi="宋体" w:eastAsia="楷体_GB2312" w:cs="宋体"/>
          <w:b w:val="0"/>
          <w:color w:val="000000"/>
          <w:kern w:val="0"/>
          <w:sz w:val="32"/>
          <w:szCs w:val="32"/>
          <w:highlight w:val="none"/>
          <w:shd w:val="clear" w:color="auto" w:fill="FFFFFF"/>
          <w:lang w:val="zh-CN" w:eastAsia="zh-CN" w:bidi="ar-SA"/>
        </w:rPr>
        <w:t>组织实施农村科技项目。绕乐山现代农业产业技术需求,强化技术支撑，组织实施农村科技项目20项以上，重点开展茶叶、晚熟柑橘、林竹和中药材等关键技术集成、研究与应用示范。持续开展科技计划成果“进园入县”行动示范基地建设，建立健全政产学研用协同合作长效机制，推动签约项目落地落实，提升农业产业现代化水平。深入推行科技特派员制度，持续保障“一县一团”县域全覆盖和主导产业全覆盖，探索科技特派员面向涉农企业、专合社等开展科技服务和创业带动。“四川科技兴村在线”服务提质扩面，完成专家在线服务8000条次以上。</w:t>
      </w:r>
    </w:p>
    <w:p>
      <w:pPr>
        <w:pStyle w:val="6"/>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楷体_GB2312" w:hAnsi="宋体" w:eastAsia="楷体_GB2312" w:cs="宋体"/>
          <w:b w:val="0"/>
          <w:color w:val="000000"/>
          <w:kern w:val="0"/>
          <w:sz w:val="32"/>
          <w:szCs w:val="32"/>
          <w:highlight w:val="none"/>
          <w:shd w:val="clear" w:color="auto" w:fill="FFFFFF"/>
          <w:lang w:val="zh-CN" w:eastAsia="zh-CN" w:bidi="ar-SA"/>
        </w:rPr>
      </w:pPr>
      <w:r>
        <w:rPr>
          <w:rFonts w:hint="eastAsia" w:ascii="楷体_GB2312" w:hAnsi="宋体" w:eastAsia="楷体_GB2312" w:cs="宋体"/>
          <w:b w:val="0"/>
          <w:color w:val="000000"/>
          <w:kern w:val="0"/>
          <w:sz w:val="32"/>
          <w:szCs w:val="32"/>
          <w:highlight w:val="none"/>
          <w:shd w:val="clear" w:color="auto" w:fill="FFFFFF"/>
          <w:lang w:val="en-US" w:eastAsia="zh-CN" w:bidi="ar-SA"/>
        </w:rPr>
        <w:t>(2)</w:t>
      </w:r>
      <w:r>
        <w:rPr>
          <w:rFonts w:hint="eastAsia" w:ascii="楷体_GB2312" w:hAnsi="宋体" w:eastAsia="楷体_GB2312" w:cs="宋体"/>
          <w:b w:val="0"/>
          <w:color w:val="000000"/>
          <w:kern w:val="0"/>
          <w:sz w:val="32"/>
          <w:szCs w:val="32"/>
          <w:highlight w:val="none"/>
          <w:shd w:val="clear" w:color="auto" w:fill="FFFFFF"/>
          <w:lang w:val="zh-CN" w:eastAsia="zh-CN" w:bidi="ar-SA"/>
        </w:rPr>
        <w:t>实施国家高新技术企业倍增和国家科技型中小企业培育计划。建立培育企业库、分解目标任务、实施精准指导，提高申报通过率，力争两类企业达370家以上。加快建设国家西南技术转移中心乐山分中心。推动企业为主体联合高校和科研院所领衔或参与创建省级以上技术创新中心、新型研发机构、工程技术研究中心等创新平台，新申报省级以上创新平台2家以上，力争省级晶硅光伏技术创新中心建设取得突破。出台《乐山市重点实验室管理办法》，启动市级重点实验室认定，增加省级重点实验室建设后备数量。编制乐山市临床医学研究中心管理办法，筑牢市级医卫创新平台建设基础。</w:t>
      </w:r>
    </w:p>
    <w:p>
      <w:pPr>
        <w:pStyle w:val="6"/>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楷体_GB2312" w:hAnsi="宋体" w:eastAsia="楷体_GB2312" w:cs="宋体"/>
          <w:b w:val="0"/>
          <w:color w:val="000000"/>
          <w:kern w:val="0"/>
          <w:sz w:val="32"/>
          <w:szCs w:val="32"/>
          <w:highlight w:val="none"/>
          <w:shd w:val="clear" w:color="auto" w:fill="FFFFFF"/>
          <w:lang w:val="zh-CN" w:eastAsia="zh-CN" w:bidi="ar-SA"/>
        </w:rPr>
      </w:pPr>
      <w:r>
        <w:rPr>
          <w:rFonts w:hint="eastAsia" w:ascii="楷体_GB2312" w:hAnsi="宋体" w:eastAsia="楷体_GB2312" w:cs="宋体"/>
          <w:b w:val="0"/>
          <w:color w:val="000000"/>
          <w:kern w:val="0"/>
          <w:sz w:val="32"/>
          <w:szCs w:val="32"/>
          <w:highlight w:val="none"/>
          <w:shd w:val="clear" w:color="auto" w:fill="FFFFFF"/>
          <w:lang w:val="en-US" w:eastAsia="zh-CN" w:bidi="ar-SA"/>
        </w:rPr>
        <w:t>(3)</w:t>
      </w:r>
      <w:r>
        <w:rPr>
          <w:rFonts w:hint="eastAsia" w:ascii="楷体_GB2312" w:hAnsi="宋体" w:eastAsia="楷体_GB2312" w:cs="宋体"/>
          <w:b w:val="0"/>
          <w:color w:val="000000"/>
          <w:kern w:val="0"/>
          <w:sz w:val="32"/>
          <w:szCs w:val="32"/>
          <w:highlight w:val="none"/>
          <w:shd w:val="clear" w:color="auto" w:fill="FFFFFF"/>
          <w:lang w:val="zh-CN" w:eastAsia="zh-CN" w:bidi="ar-SA"/>
        </w:rPr>
        <w:t>编制《乐山国家农业科技园区提质增效三年行动方案》。围绕“4+5+5”现代产业体系，打造高新技术产业集群，以科技创新助推先进制造业跨越式提升。培育新品种，开展食品饮料精深加工带动特色优势农业发展，加快构建先进制造业创新链产业链人才链相互促进的发展格局。</w:t>
      </w:r>
    </w:p>
    <w:p>
      <w:pPr>
        <w:pStyle w:val="6"/>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楷体_GB2312" w:hAnsi="宋体" w:eastAsia="楷体_GB2312" w:cs="宋体"/>
          <w:b w:val="0"/>
          <w:color w:val="000000"/>
          <w:kern w:val="0"/>
          <w:sz w:val="32"/>
          <w:szCs w:val="32"/>
          <w:highlight w:val="none"/>
          <w:shd w:val="clear" w:color="auto" w:fill="FFFFFF"/>
          <w:lang w:val="zh-CN" w:eastAsia="zh-CN" w:bidi="ar-SA"/>
        </w:rPr>
      </w:pPr>
      <w:r>
        <w:rPr>
          <w:rFonts w:hint="eastAsia" w:ascii="楷体_GB2312" w:hAnsi="宋体" w:eastAsia="楷体_GB2312" w:cs="宋体"/>
          <w:b w:val="0"/>
          <w:color w:val="000000"/>
          <w:kern w:val="0"/>
          <w:sz w:val="32"/>
          <w:szCs w:val="32"/>
          <w:highlight w:val="none"/>
          <w:shd w:val="clear" w:color="auto" w:fill="FFFFFF"/>
          <w:lang w:val="en-US" w:eastAsia="zh-CN" w:bidi="ar-SA"/>
        </w:rPr>
        <w:t>(4)</w:t>
      </w:r>
      <w:r>
        <w:rPr>
          <w:rFonts w:hint="eastAsia" w:ascii="楷体_GB2312" w:hAnsi="宋体" w:eastAsia="楷体_GB2312" w:cs="宋体"/>
          <w:b w:val="0"/>
          <w:color w:val="000000"/>
          <w:kern w:val="0"/>
          <w:sz w:val="32"/>
          <w:szCs w:val="32"/>
          <w:highlight w:val="none"/>
          <w:shd w:val="clear" w:color="auto" w:fill="FFFFFF"/>
          <w:lang w:val="zh-CN" w:eastAsia="zh-CN" w:bidi="ar-SA"/>
        </w:rPr>
        <w:t>巩固乐山晶硅光伏产业行业创新领跑地位。实施晶硅光伏重大科技专项，助力巩固乐山晶硅光伏产业行业创新领跑地位；争创民用核技术应用中试熟化平台，推动核技术应用成果转化；开发新产品新赛道，围绕绿色化工精细化延伸做强循环经济；引进先进技术，聚焦绿色低碳实现新型建材产业转型升级；</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部门整体支出绩效目标。</w:t>
      </w:r>
    </w:p>
    <w:p>
      <w:pPr>
        <w:pStyle w:val="6"/>
        <w:keepNext w:val="0"/>
        <w:keepLines w:val="0"/>
        <w:pageBreakBefore w:val="0"/>
        <w:kinsoku/>
        <w:wordWrap/>
        <w:overflowPunct/>
        <w:topLinePunct w:val="0"/>
        <w:autoSpaceDE/>
        <w:autoSpaceDN/>
        <w:bidi w:val="0"/>
        <w:spacing w:line="360" w:lineRule="auto"/>
        <w:ind w:firstLine="420" w:firstLineChars="0"/>
        <w:jc w:val="both"/>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b w:val="0"/>
          <w:color w:val="000000"/>
          <w:kern w:val="0"/>
          <w:sz w:val="32"/>
          <w:szCs w:val="32"/>
          <w:highlight w:val="none"/>
          <w:shd w:val="clear" w:color="auto" w:fill="FFFFFF"/>
          <w:lang w:val="en-US" w:eastAsia="zh-CN" w:bidi="ar-SA"/>
        </w:rPr>
        <w:t>本部门2022年度主要任务包含4项，分别是“</w:t>
      </w:r>
      <w:r>
        <w:rPr>
          <w:rFonts w:hint="eastAsia" w:ascii="楷体_GB2312" w:hAnsi="宋体" w:eastAsia="楷体_GB2312" w:cs="宋体"/>
          <w:b w:val="0"/>
          <w:color w:val="000000"/>
          <w:kern w:val="0"/>
          <w:sz w:val="32"/>
          <w:szCs w:val="32"/>
          <w:highlight w:val="none"/>
          <w:shd w:val="clear" w:color="auto" w:fill="FFFFFF"/>
          <w:lang w:val="zh-CN" w:eastAsia="zh-CN" w:bidi="ar-SA"/>
        </w:rPr>
        <w:t>组织实施农村科技项目</w:t>
      </w:r>
      <w:r>
        <w:rPr>
          <w:rFonts w:hint="eastAsia" w:ascii="楷体_GB2312" w:hAnsi="宋体" w:eastAsia="楷体_GB2312" w:cs="宋体"/>
          <w:b w:val="0"/>
          <w:color w:val="000000"/>
          <w:kern w:val="0"/>
          <w:sz w:val="32"/>
          <w:szCs w:val="32"/>
          <w:highlight w:val="none"/>
          <w:shd w:val="clear" w:color="auto" w:fill="FFFFFF"/>
          <w:lang w:val="en-US" w:eastAsia="zh-CN" w:bidi="ar-SA"/>
        </w:rPr>
        <w:t>”、“</w:t>
      </w:r>
      <w:r>
        <w:rPr>
          <w:rFonts w:hint="eastAsia" w:ascii="楷体_GB2312" w:hAnsi="宋体" w:eastAsia="楷体_GB2312" w:cs="宋体"/>
          <w:b w:val="0"/>
          <w:color w:val="000000"/>
          <w:kern w:val="0"/>
          <w:sz w:val="32"/>
          <w:szCs w:val="32"/>
          <w:highlight w:val="none"/>
          <w:shd w:val="clear" w:color="auto" w:fill="FFFFFF"/>
          <w:lang w:val="zh-CN" w:eastAsia="zh-CN" w:bidi="ar-SA"/>
        </w:rPr>
        <w:t>实施国家高新技术企业倍增和国家科技型中小企业培育计划</w:t>
      </w:r>
      <w:r>
        <w:rPr>
          <w:rFonts w:hint="default" w:ascii="楷体_GB2312" w:hAnsi="宋体" w:eastAsia="楷体_GB2312" w:cs="宋体"/>
          <w:b w:val="0"/>
          <w:color w:val="000000"/>
          <w:kern w:val="0"/>
          <w:sz w:val="32"/>
          <w:szCs w:val="32"/>
          <w:highlight w:val="none"/>
          <w:shd w:val="clear" w:color="auto" w:fill="FFFFFF"/>
          <w:lang w:val="en-US" w:eastAsia="zh-CN" w:bidi="ar-SA"/>
        </w:rPr>
        <w:t>”</w:t>
      </w:r>
      <w:r>
        <w:rPr>
          <w:rFonts w:hint="eastAsia" w:ascii="楷体_GB2312" w:hAnsi="宋体" w:eastAsia="楷体_GB2312" w:cs="宋体"/>
          <w:b w:val="0"/>
          <w:color w:val="000000"/>
          <w:kern w:val="0"/>
          <w:sz w:val="32"/>
          <w:szCs w:val="32"/>
          <w:highlight w:val="none"/>
          <w:shd w:val="clear" w:color="auto" w:fill="FFFFFF"/>
          <w:lang w:val="en-US" w:eastAsia="zh-CN" w:bidi="ar-SA"/>
        </w:rPr>
        <w:t>、“</w:t>
      </w:r>
      <w:r>
        <w:rPr>
          <w:rFonts w:hint="eastAsia" w:ascii="楷体_GB2312" w:hAnsi="宋体" w:eastAsia="楷体_GB2312" w:cs="宋体"/>
          <w:b w:val="0"/>
          <w:color w:val="000000"/>
          <w:kern w:val="0"/>
          <w:sz w:val="32"/>
          <w:szCs w:val="32"/>
          <w:highlight w:val="none"/>
          <w:shd w:val="clear" w:color="auto" w:fill="FFFFFF"/>
          <w:lang w:val="zh-CN" w:eastAsia="zh-CN" w:bidi="ar-SA"/>
        </w:rPr>
        <w:t>编制《乐山国家农业科技园区提质增效三年行动方案》。</w:t>
      </w:r>
      <w:r>
        <w:rPr>
          <w:rFonts w:hint="eastAsia" w:ascii="楷体_GB2312" w:hAnsi="宋体" w:eastAsia="楷体_GB2312" w:cs="宋体"/>
          <w:b w:val="0"/>
          <w:color w:val="000000"/>
          <w:kern w:val="0"/>
          <w:sz w:val="32"/>
          <w:szCs w:val="32"/>
          <w:highlight w:val="none"/>
          <w:shd w:val="clear" w:color="auto" w:fill="FFFFFF"/>
          <w:lang w:val="en-US" w:eastAsia="zh-CN" w:bidi="ar-SA"/>
        </w:rPr>
        <w:t>”和</w:t>
      </w:r>
      <w:r>
        <w:rPr>
          <w:rFonts w:hint="default" w:ascii="楷体_GB2312" w:hAnsi="宋体" w:eastAsia="楷体_GB2312" w:cs="宋体"/>
          <w:b w:val="0"/>
          <w:color w:val="000000"/>
          <w:kern w:val="0"/>
          <w:sz w:val="32"/>
          <w:szCs w:val="32"/>
          <w:highlight w:val="none"/>
          <w:shd w:val="clear" w:color="auto" w:fill="FFFFFF"/>
          <w:lang w:val="en-US" w:eastAsia="zh-CN" w:bidi="ar-SA"/>
        </w:rPr>
        <w:t>“</w:t>
      </w:r>
      <w:r>
        <w:rPr>
          <w:rFonts w:hint="eastAsia" w:ascii="楷体_GB2312" w:hAnsi="宋体" w:eastAsia="楷体_GB2312" w:cs="宋体"/>
          <w:b w:val="0"/>
          <w:color w:val="000000"/>
          <w:kern w:val="0"/>
          <w:sz w:val="32"/>
          <w:szCs w:val="32"/>
          <w:highlight w:val="none"/>
          <w:shd w:val="clear" w:color="auto" w:fill="FFFFFF"/>
          <w:lang w:val="zh-CN" w:eastAsia="zh-CN" w:bidi="ar-SA"/>
        </w:rPr>
        <w:t>巩固乐山晶硅光伏产业行业创新领跑地位</w:t>
      </w:r>
      <w:r>
        <w:rPr>
          <w:rFonts w:hint="default" w:ascii="楷体_GB2312" w:hAnsi="宋体" w:eastAsia="楷体_GB2312" w:cs="宋体"/>
          <w:b w:val="0"/>
          <w:color w:val="000000"/>
          <w:kern w:val="0"/>
          <w:sz w:val="32"/>
          <w:szCs w:val="32"/>
          <w:highlight w:val="none"/>
          <w:shd w:val="clear" w:color="auto" w:fill="FFFFFF"/>
          <w:lang w:val="en-US" w:eastAsia="zh-CN" w:bidi="ar-SA"/>
        </w:rPr>
        <w:t>”</w:t>
      </w:r>
      <w:r>
        <w:rPr>
          <w:rFonts w:hint="eastAsia" w:ascii="楷体_GB2312" w:hAnsi="宋体" w:eastAsia="楷体_GB2312" w:cs="宋体"/>
          <w:b w:val="0"/>
          <w:color w:val="000000"/>
          <w:kern w:val="0"/>
          <w:sz w:val="32"/>
          <w:szCs w:val="32"/>
          <w:highlight w:val="none"/>
          <w:shd w:val="clear" w:color="auto" w:fill="FFFFFF"/>
          <w:lang w:val="en-US" w:eastAsia="zh-CN" w:bidi="ar-SA"/>
        </w:rPr>
        <w:t>。一共3个一级指标，5个二级指标，5个三级指标，截止2023年底，组织实施农村科技项目23项，实施国家高新技术企业倍增和国家科技型中小企业培育计划455家，按计划编制《乐山国家农业科技园区提质增效三年行动方案》中 ，完成今年的巩固乐山晶硅光伏产业行业创新领跑地位的任务。</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黑体" w:hAnsi="黑体" w:eastAsia="黑体" w:cs="宋体"/>
          <w:color w:val="000000"/>
          <w:kern w:val="0"/>
          <w:szCs w:val="32"/>
          <w:shd w:val="clear" w:color="auto" w:fill="FFFFFF"/>
        </w:rPr>
      </w:pPr>
      <w:r>
        <w:rPr>
          <w:rFonts w:hint="eastAsia" w:ascii="黑体" w:hAnsi="黑体" w:eastAsia="黑体" w:cs="宋体"/>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202</w:t>
      </w:r>
      <w:r>
        <w:rPr>
          <w:rFonts w:hint="eastAsia" w:ascii="楷体_GB2312" w:hAnsi="宋体" w:eastAsia="楷体_GB2312" w:cs="宋体"/>
          <w:color w:val="000000"/>
          <w:kern w:val="0"/>
          <w:szCs w:val="32"/>
          <w:shd w:val="clear" w:color="auto" w:fill="FFFFFF"/>
          <w:lang w:val="en-US" w:eastAsia="zh-CN"/>
        </w:rPr>
        <w:t>3</w:t>
      </w:r>
      <w:r>
        <w:rPr>
          <w:rFonts w:hint="eastAsia" w:ascii="楷体_GB2312" w:hAnsi="宋体" w:eastAsia="楷体_GB2312" w:cs="宋体"/>
          <w:color w:val="000000"/>
          <w:kern w:val="0"/>
          <w:szCs w:val="32"/>
          <w:shd w:val="clear" w:color="auto" w:fill="FFFFFF"/>
          <w:lang w:val="zh-CN"/>
        </w:rPr>
        <w:t xml:space="preserve">年局机关及下属事业单位收入预算安排总额 </w:t>
      </w:r>
      <w:r>
        <w:rPr>
          <w:rFonts w:hint="eastAsia" w:ascii="楷体_GB2312" w:hAnsi="宋体" w:eastAsia="楷体_GB2312" w:cs="宋体"/>
          <w:color w:val="000000"/>
          <w:kern w:val="0"/>
          <w:szCs w:val="32"/>
          <w:shd w:val="clear" w:color="auto" w:fill="FFFFFF"/>
          <w:lang w:val="en-US" w:eastAsia="zh-CN"/>
        </w:rPr>
        <w:t>1233.46</w:t>
      </w:r>
      <w:r>
        <w:rPr>
          <w:rFonts w:hint="eastAsia" w:ascii="楷体_GB2312" w:hAnsi="宋体" w:eastAsia="楷体_GB2312" w:cs="宋体"/>
          <w:color w:val="000000"/>
          <w:kern w:val="0"/>
          <w:szCs w:val="32"/>
          <w:shd w:val="clear" w:color="auto" w:fill="FFFFFF"/>
          <w:lang w:val="zh-CN"/>
        </w:rPr>
        <w:t>万元。</w:t>
      </w:r>
    </w:p>
    <w:p>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highlight w:val="none"/>
          <w:shd w:val="clear" w:color="auto" w:fill="FFFFFF"/>
          <w:lang w:val="zh-CN"/>
        </w:rPr>
        <w:t>部门财政资金支出情况。</w:t>
      </w:r>
    </w:p>
    <w:p>
      <w:pPr>
        <w:keepNext w:val="0"/>
        <w:keepLines w:val="0"/>
        <w:pageBreakBefore w:val="0"/>
        <w:widowControl/>
        <w:numPr>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202</w:t>
      </w:r>
      <w:r>
        <w:rPr>
          <w:rFonts w:hint="eastAsia" w:ascii="楷体_GB2312" w:hAnsi="宋体" w:eastAsia="楷体_GB2312" w:cs="宋体"/>
          <w:color w:val="000000"/>
          <w:kern w:val="0"/>
          <w:szCs w:val="32"/>
          <w:shd w:val="clear" w:color="auto" w:fill="FFFFFF"/>
          <w:lang w:val="en-US" w:eastAsia="zh-CN"/>
        </w:rPr>
        <w:t>3</w:t>
      </w:r>
      <w:r>
        <w:rPr>
          <w:rFonts w:hint="eastAsia" w:ascii="楷体_GB2312" w:hAnsi="宋体" w:eastAsia="楷体_GB2312" w:cs="宋体"/>
          <w:color w:val="000000"/>
          <w:kern w:val="0"/>
          <w:szCs w:val="32"/>
          <w:shd w:val="clear" w:color="auto" w:fill="FFFFFF"/>
          <w:lang w:val="zh-CN"/>
        </w:rPr>
        <w:t>年一般公共预算财政拨款支出</w:t>
      </w:r>
      <w:r>
        <w:rPr>
          <w:rFonts w:hint="eastAsia" w:ascii="楷体_GB2312" w:hAnsi="宋体" w:eastAsia="楷体_GB2312" w:cs="宋体"/>
          <w:color w:val="000000"/>
          <w:kern w:val="0"/>
          <w:szCs w:val="32"/>
          <w:shd w:val="clear" w:color="auto" w:fill="FFFFFF"/>
          <w:lang w:val="en-US" w:eastAsia="zh-CN"/>
        </w:rPr>
        <w:t>1492.3</w:t>
      </w:r>
      <w:r>
        <w:rPr>
          <w:rFonts w:hint="eastAsia" w:ascii="楷体_GB2312" w:hAnsi="宋体" w:eastAsia="楷体_GB2312" w:cs="宋体"/>
          <w:color w:val="000000"/>
          <w:kern w:val="0"/>
          <w:szCs w:val="32"/>
          <w:shd w:val="clear" w:color="auto" w:fill="FFFFFF"/>
          <w:lang w:val="zh-CN"/>
        </w:rPr>
        <w:t>万元。与202</w:t>
      </w:r>
      <w:r>
        <w:rPr>
          <w:rFonts w:hint="eastAsia" w:ascii="楷体_GB2312" w:hAnsi="宋体" w:eastAsia="楷体_GB2312" w:cs="宋体"/>
          <w:color w:val="000000"/>
          <w:kern w:val="0"/>
          <w:szCs w:val="32"/>
          <w:shd w:val="clear" w:color="auto" w:fill="FFFFFF"/>
          <w:lang w:val="en-US" w:eastAsia="zh-CN"/>
        </w:rPr>
        <w:t>2</w:t>
      </w:r>
      <w:r>
        <w:rPr>
          <w:rFonts w:hint="eastAsia" w:ascii="楷体_GB2312" w:hAnsi="宋体" w:eastAsia="楷体_GB2312" w:cs="宋体"/>
          <w:color w:val="000000"/>
          <w:kern w:val="0"/>
          <w:szCs w:val="32"/>
          <w:shd w:val="clear" w:color="auto" w:fill="FFFFFF"/>
          <w:lang w:val="zh-CN"/>
        </w:rPr>
        <w:t>年相比，一般公共预算财政拨款支出减少</w:t>
      </w:r>
      <w:r>
        <w:rPr>
          <w:rFonts w:hint="eastAsia" w:ascii="楷体_GB2312" w:hAnsi="宋体" w:eastAsia="楷体_GB2312" w:cs="宋体"/>
          <w:color w:val="000000"/>
          <w:kern w:val="0"/>
          <w:szCs w:val="32"/>
          <w:shd w:val="clear" w:color="auto" w:fill="FFFFFF"/>
          <w:lang w:val="en-US" w:eastAsia="zh-CN"/>
        </w:rPr>
        <w:t>151.5</w:t>
      </w:r>
      <w:r>
        <w:rPr>
          <w:rFonts w:hint="eastAsia" w:ascii="楷体_GB2312" w:hAnsi="宋体" w:eastAsia="楷体_GB2312" w:cs="宋体"/>
          <w:color w:val="000000"/>
          <w:kern w:val="0"/>
          <w:szCs w:val="32"/>
          <w:shd w:val="clear" w:color="auto" w:fill="FFFFFF"/>
          <w:lang w:val="zh-CN"/>
        </w:rPr>
        <w:t>万元，减少</w:t>
      </w:r>
      <w:r>
        <w:rPr>
          <w:rFonts w:hint="eastAsia" w:ascii="楷体_GB2312" w:hAnsi="宋体" w:eastAsia="楷体_GB2312" w:cs="宋体"/>
          <w:color w:val="000000"/>
          <w:kern w:val="0"/>
          <w:szCs w:val="32"/>
          <w:shd w:val="clear" w:color="auto" w:fill="FFFFFF"/>
          <w:lang w:val="en-US" w:eastAsia="zh-CN"/>
        </w:rPr>
        <w:t>9.22</w:t>
      </w:r>
      <w:r>
        <w:rPr>
          <w:rFonts w:hint="eastAsia" w:ascii="楷体_GB2312" w:hAnsi="宋体" w:eastAsia="楷体_GB2312" w:cs="宋体"/>
          <w:color w:val="000000"/>
          <w:kern w:val="0"/>
          <w:szCs w:val="32"/>
          <w:shd w:val="clear" w:color="auto" w:fill="FFFFFF"/>
          <w:lang w:val="zh-CN"/>
        </w:rPr>
        <w:t>%。主要变动原因是财政拨款科技项目支出减少。</w:t>
      </w:r>
    </w:p>
    <w:p>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leftChars="0"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部门财政资金结转结余情况。</w:t>
      </w:r>
    </w:p>
    <w:p>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楷体_GB2312" w:hAnsi="宋体" w:eastAsia="楷体_GB2312" w:cs="宋体"/>
          <w:color w:val="000000"/>
          <w:kern w:val="0"/>
          <w:szCs w:val="32"/>
          <w:shd w:val="clear" w:color="auto" w:fill="FFFFFF"/>
          <w:lang w:val="zh-CN"/>
        </w:rPr>
      </w:pPr>
      <w:bookmarkStart w:id="0" w:name="_GoBack"/>
      <w:bookmarkEnd w:id="0"/>
      <w:r>
        <w:rPr>
          <w:rFonts w:hint="eastAsia" w:ascii="楷体_GB2312" w:hAnsi="宋体" w:eastAsia="楷体_GB2312" w:cs="宋体"/>
          <w:b w:val="0"/>
          <w:color w:val="000000"/>
          <w:kern w:val="0"/>
          <w:sz w:val="32"/>
          <w:szCs w:val="32"/>
          <w:shd w:val="clear" w:color="auto" w:fill="FFFFFF"/>
          <w:lang w:val="en-US" w:eastAsia="zh-CN" w:bidi="ar-SA"/>
        </w:rPr>
        <w:t>2023年末结转500万元，其中项目结转500万元（年初结余项目）。</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黑体" w:hAnsi="黑体" w:eastAsia="黑体" w:cs="宋体"/>
          <w:color w:val="000000"/>
          <w:kern w:val="0"/>
          <w:szCs w:val="32"/>
          <w:highlight w:val="none"/>
          <w:shd w:val="clear" w:color="auto" w:fill="FFFFFF"/>
        </w:rPr>
      </w:pPr>
      <w:r>
        <w:rPr>
          <w:rFonts w:hint="eastAsia" w:ascii="黑体" w:hAnsi="黑体" w:eastAsia="黑体" w:cs="宋体"/>
          <w:color w:val="000000"/>
          <w:kern w:val="0"/>
          <w:szCs w:val="32"/>
          <w:highlight w:val="none"/>
          <w:shd w:val="clear" w:color="auto" w:fill="FFFFFF"/>
        </w:rPr>
        <w:t>三、部门整体绩效管理情况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（一）部门整体履职绩效分析。</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0"/>
        <w:contextualSpacing/>
        <w:jc w:val="both"/>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本部门按要求对 202</w:t>
      </w:r>
      <w:r>
        <w:rPr>
          <w:rFonts w:hint="eastAsia" w:ascii="楷体_GB2312" w:hAnsi="宋体" w:eastAsia="楷体_GB2312" w:cs="宋体"/>
          <w:color w:val="000000"/>
          <w:kern w:val="0"/>
          <w:szCs w:val="32"/>
          <w:shd w:val="clear" w:color="auto" w:fill="FFFFFF"/>
          <w:lang w:val="en-US" w:eastAsia="zh-CN"/>
        </w:rPr>
        <w:t>3</w:t>
      </w:r>
      <w:r>
        <w:rPr>
          <w:rFonts w:hint="eastAsia" w:ascii="楷体_GB2312" w:hAnsi="宋体" w:eastAsia="楷体_GB2312" w:cs="宋体"/>
          <w:color w:val="000000"/>
          <w:kern w:val="0"/>
          <w:szCs w:val="32"/>
          <w:shd w:val="clear" w:color="auto" w:fill="FFFFFF"/>
          <w:lang w:val="zh-CN"/>
        </w:rPr>
        <w:t>年部门整体支出开展绩效自评，从评价</w:t>
      </w:r>
    </w:p>
    <w:p>
      <w:pPr>
        <w:keepNext w:val="0"/>
        <w:keepLines w:val="0"/>
        <w:pageBreakBefore w:val="0"/>
        <w:widowControl/>
        <w:kinsoku/>
        <w:wordWrap/>
        <w:overflowPunct/>
        <w:topLinePunct w:val="0"/>
        <w:autoSpaceDE/>
        <w:autoSpaceDN/>
        <w:bidi w:val="0"/>
        <w:adjustRightInd w:val="0"/>
        <w:snapToGrid w:val="0"/>
        <w:spacing w:line="360" w:lineRule="auto"/>
        <w:contextualSpacing/>
        <w:jc w:val="both"/>
        <w:textAlignment w:val="auto"/>
        <w:rPr>
          <w:highlight w:val="yellow"/>
          <w:lang w:val="zh-CN"/>
        </w:rPr>
      </w:pPr>
      <w:r>
        <w:rPr>
          <w:rFonts w:hint="eastAsia" w:ascii="楷体_GB2312" w:hAnsi="宋体" w:eastAsia="楷体_GB2312" w:cs="宋体"/>
          <w:color w:val="000000"/>
          <w:kern w:val="0"/>
          <w:szCs w:val="32"/>
          <w:shd w:val="clear" w:color="auto" w:fill="FFFFFF"/>
          <w:lang w:val="zh-CN"/>
        </w:rPr>
        <w:t>情况来看，得分</w:t>
      </w:r>
      <w:r>
        <w:rPr>
          <w:rFonts w:hint="eastAsia" w:ascii="楷体_GB2312" w:hAnsi="宋体" w:eastAsia="楷体_GB2312" w:cs="宋体"/>
          <w:color w:val="000000"/>
          <w:kern w:val="0"/>
          <w:szCs w:val="32"/>
          <w:shd w:val="clear" w:color="auto" w:fill="FFFFFF"/>
          <w:lang w:val="en-US" w:eastAsia="zh-CN"/>
        </w:rPr>
        <w:t>84.8分，</w:t>
      </w:r>
      <w:r>
        <w:rPr>
          <w:rFonts w:hint="eastAsia" w:ascii="楷体_GB2312" w:hAnsi="宋体" w:eastAsia="楷体_GB2312" w:cs="宋体"/>
          <w:color w:val="000000"/>
          <w:kern w:val="0"/>
          <w:szCs w:val="32"/>
          <w:shd w:val="clear" w:color="auto" w:fill="FFFFFF"/>
          <w:lang w:val="zh-CN"/>
        </w:rPr>
        <w:t>预决算编制较为合理</w:t>
      </w:r>
      <w:r>
        <w:rPr>
          <w:rFonts w:hint="eastAsia" w:ascii="楷体_GB2312" w:hAnsi="宋体" w:eastAsia="楷体_GB2312" w:cs="宋体"/>
          <w:color w:val="000000"/>
          <w:kern w:val="0"/>
          <w:szCs w:val="32"/>
          <w:shd w:val="clear" w:color="auto" w:fill="FFFFFF"/>
          <w:lang w:val="en-US" w:eastAsia="zh-CN"/>
        </w:rPr>
        <w:t>,目标制定较为准确，整体项目目标都在有条不紊的推进。整体而言，</w:t>
      </w:r>
      <w:r>
        <w:rPr>
          <w:rFonts w:hint="eastAsia" w:ascii="楷体_GB2312" w:hAnsi="宋体" w:eastAsia="楷体_GB2312" w:cs="宋体"/>
          <w:color w:val="000000"/>
          <w:kern w:val="0"/>
          <w:szCs w:val="32"/>
          <w:shd w:val="clear" w:color="auto" w:fill="FFFFFF"/>
          <w:lang w:val="zh-CN"/>
        </w:rPr>
        <w:t>主要任务基本已完成，年度绩效指标均已达到，尤其在</w:t>
      </w:r>
      <w:r>
        <w:rPr>
          <w:rFonts w:hint="eastAsia" w:ascii="楷体_GB2312" w:hAnsi="宋体" w:eastAsia="楷体_GB2312" w:cs="宋体"/>
          <w:b w:val="0"/>
          <w:color w:val="000000"/>
          <w:kern w:val="0"/>
          <w:sz w:val="32"/>
          <w:szCs w:val="32"/>
          <w:highlight w:val="none"/>
          <w:shd w:val="clear" w:color="auto" w:fill="FFFFFF"/>
          <w:lang w:val="en-US" w:eastAsia="zh-CN" w:bidi="ar-SA"/>
        </w:rPr>
        <w:t>实施国家高新技术企业倍增和国家科技型中小企业培育计划目标</w:t>
      </w:r>
      <w:r>
        <w:rPr>
          <w:rFonts w:hint="eastAsia" w:ascii="楷体_GB2312" w:hAnsi="宋体" w:eastAsia="楷体_GB2312" w:cs="宋体"/>
          <w:color w:val="000000"/>
          <w:kern w:val="0"/>
          <w:szCs w:val="32"/>
          <w:shd w:val="clear" w:color="auto" w:fill="FFFFFF"/>
          <w:lang w:val="en-US" w:eastAsia="zh-CN"/>
        </w:rPr>
        <w:t>方面完成出色，参加企业的数量超过原定目标的22%。</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（二）特定目标类项目绩效分析。</w:t>
      </w: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宋体" w:eastAsia="仿宋_GB2312" w:cs="宋体"/>
          <w:color w:val="000000"/>
          <w:kern w:val="0"/>
          <w:szCs w:val="32"/>
          <w:shd w:val="clear" w:color="auto" w:fill="FFFFFF"/>
          <w:lang w:val="zh-CN"/>
        </w:rPr>
      </w:pPr>
      <w:r>
        <w:rPr>
          <w:rFonts w:hint="eastAsia" w:ascii="仿宋_GB2312" w:hAnsi="宋体" w:eastAsia="仿宋_GB2312" w:cs="宋体"/>
          <w:color w:val="000000"/>
          <w:kern w:val="0"/>
          <w:szCs w:val="32"/>
          <w:shd w:val="clear" w:color="auto" w:fill="FFFFFF"/>
          <w:lang w:val="zh-CN"/>
        </w:rPr>
        <w:t>整体情况</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640" w:firstLineChars="200"/>
        <w:jc w:val="left"/>
        <w:textAlignment w:val="auto"/>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①</w:t>
      </w:r>
      <w:r>
        <w:rPr>
          <w:rFonts w:hint="eastAsia" w:ascii="楷体_GB2312" w:hAnsi="楷体_GB2312" w:eastAsia="楷体_GB2312" w:cs="楷体_GB2312"/>
          <w:color w:val="000000"/>
          <w:kern w:val="0"/>
          <w:szCs w:val="32"/>
          <w:highlight w:val="none"/>
          <w:shd w:val="clear" w:color="auto" w:fill="FFFFFF"/>
          <w:lang w:val="zh-CN"/>
        </w:rPr>
        <w:t>绩效目标制定与</w:t>
      </w:r>
      <w:r>
        <w:rPr>
          <w:rFonts w:hint="eastAsia" w:ascii="楷体_GB2312" w:hAnsi="楷体_GB2312" w:eastAsia="楷体_GB2312" w:cs="楷体_GB2312"/>
          <w:color w:val="000000"/>
          <w:kern w:val="0"/>
          <w:szCs w:val="32"/>
          <w:shd w:val="clear" w:color="auto" w:fill="FFFFFF"/>
          <w:lang w:val="zh-CN"/>
        </w:rPr>
        <w:t>项目绩效目标实现情况</w:t>
      </w:r>
      <w:r>
        <w:rPr>
          <w:rFonts w:hint="eastAsia" w:ascii="楷体_GB2312" w:hAnsi="楷体_GB2312" w:eastAsia="楷体_GB2312" w:cs="楷体_GB2312"/>
          <w:color w:val="000000"/>
          <w:kern w:val="0"/>
          <w:szCs w:val="32"/>
          <w:highlight w:val="none"/>
          <w:shd w:val="clear" w:color="auto" w:fill="FFFFFF"/>
          <w:lang w:val="zh-CN"/>
        </w:rPr>
        <w:t>，执行进度</w:t>
      </w:r>
      <w:r>
        <w:rPr>
          <w:rFonts w:hint="eastAsia" w:ascii="楷体_GB2312" w:hAnsi="楷体_GB2312" w:eastAsia="楷体_GB2312" w:cs="楷体_GB2312"/>
          <w:color w:val="000000"/>
          <w:kern w:val="0"/>
          <w:szCs w:val="32"/>
          <w:shd w:val="clear" w:color="auto" w:fill="FFFFFF"/>
          <w:lang w:val="zh-CN"/>
        </w:rPr>
        <w:t>、预算完成情况。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楷体_GB2312" w:eastAsia="楷体_GB2312" w:cs="楷体_GB2312"/>
          <w:color w:val="000000"/>
          <w:kern w:val="0"/>
          <w:szCs w:val="32"/>
          <w:shd w:val="clear" w:color="auto" w:fill="FFFFFF"/>
          <w:lang w:val="en-US" w:eastAsia="zh-CN"/>
        </w:rPr>
      </w:pPr>
      <w:r>
        <w:rPr>
          <w:rFonts w:hint="eastAsia" w:ascii="楷体_GB2312" w:hAnsi="楷体_GB2312" w:eastAsia="楷体_GB2312" w:cs="楷体_GB2312"/>
          <w:color w:val="000000"/>
          <w:kern w:val="0"/>
          <w:szCs w:val="32"/>
          <w:shd w:val="clear" w:color="auto" w:fill="FFFFFF"/>
          <w:lang w:val="en-US" w:eastAsia="zh-CN"/>
        </w:rPr>
        <w:t>根据预算绩效管理要求，本部门在年初预算编制阶段，由资金使用部门根据项目实施方案以及将要的到得目的，以定量指标为主，定性指标为辅，</w:t>
      </w:r>
      <w:r>
        <w:rPr>
          <w:rFonts w:hint="default" w:ascii="楷体_GB2312" w:hAnsi="楷体_GB2312" w:eastAsia="楷体_GB2312" w:cs="楷体_GB2312"/>
          <w:color w:val="000000"/>
          <w:kern w:val="0"/>
          <w:szCs w:val="32"/>
          <w:shd w:val="clear" w:color="auto" w:fill="FFFFFF"/>
          <w:lang w:val="en-US" w:eastAsia="zh-CN"/>
        </w:rPr>
        <w:t>对所有项目编制了绩效目标</w:t>
      </w:r>
      <w:r>
        <w:rPr>
          <w:rFonts w:hint="eastAsia" w:ascii="楷体_GB2312" w:hAnsi="楷体_GB2312" w:eastAsia="楷体_GB2312" w:cs="楷体_GB2312"/>
          <w:color w:val="000000"/>
          <w:kern w:val="0"/>
          <w:szCs w:val="32"/>
          <w:shd w:val="clear" w:color="auto" w:fill="FFFFFF"/>
          <w:lang w:val="en-US" w:eastAsia="zh-CN"/>
        </w:rPr>
        <w:t>（详见项目绩效附表）。本部门有</w:t>
      </w:r>
      <w:r>
        <w:rPr>
          <w:rFonts w:hint="eastAsia" w:ascii="楷体_GB2312" w:hAnsi="楷体_GB2312" w:eastAsia="楷体_GB2312" w:cs="楷体_GB2312"/>
          <w:color w:val="000000"/>
          <w:kern w:val="0"/>
          <w:szCs w:val="32"/>
          <w:highlight w:val="none"/>
          <w:shd w:val="clear" w:color="auto" w:fill="FFFFFF"/>
          <w:lang w:val="en-US" w:eastAsia="zh-CN"/>
        </w:rPr>
        <w:t>20</w:t>
      </w:r>
      <w:r>
        <w:rPr>
          <w:rFonts w:hint="default" w:ascii="楷体_GB2312" w:hAnsi="楷体_GB2312" w:eastAsia="楷体_GB2312" w:cs="楷体_GB2312"/>
          <w:color w:val="000000"/>
          <w:kern w:val="0"/>
          <w:szCs w:val="32"/>
          <w:highlight w:val="none"/>
          <w:shd w:val="clear" w:color="auto" w:fill="FFFFFF"/>
          <w:lang w:val="en-US" w:eastAsia="zh-CN"/>
        </w:rPr>
        <w:t>个</w:t>
      </w:r>
      <w:r>
        <w:rPr>
          <w:rFonts w:hint="eastAsia" w:ascii="楷体_GB2312" w:hAnsi="楷体_GB2312" w:eastAsia="楷体_GB2312" w:cs="楷体_GB2312"/>
          <w:color w:val="000000"/>
          <w:kern w:val="0"/>
          <w:szCs w:val="32"/>
          <w:shd w:val="clear" w:color="auto" w:fill="FFFFFF"/>
          <w:lang w:val="en-US" w:eastAsia="zh-CN"/>
        </w:rPr>
        <w:t>市级资金项目属于本次绩效公开范畴，其中省级转移项目5项，市级项目15项。共设置三级指标121个，共实现目标108个。部分未实现的目标属于“乐山市科技业务管理系统升级”和“乐山市科技管理信息系统建设研究”2个项目。均为正常，合理的未实现。明细如下：</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楷体_GB2312" w:eastAsia="楷体_GB2312" w:cs="楷体_GB2312"/>
          <w:color w:val="000000"/>
          <w:kern w:val="0"/>
          <w:szCs w:val="32"/>
          <w:shd w:val="clear" w:color="auto" w:fill="FFFFFF"/>
          <w:lang w:val="en-US" w:eastAsia="zh-CN"/>
        </w:rPr>
      </w:pPr>
      <w:r>
        <w:rPr>
          <w:rFonts w:hint="eastAsia" w:ascii="楷体_GB2312" w:hAnsi="楷体_GB2312" w:eastAsia="楷体_GB2312" w:cs="楷体_GB2312"/>
          <w:color w:val="000000"/>
          <w:kern w:val="0"/>
          <w:szCs w:val="32"/>
          <w:shd w:val="clear" w:color="auto" w:fill="FFFFFF"/>
          <w:lang w:val="en-US" w:eastAsia="zh-CN"/>
        </w:rPr>
        <w:t>“乐山市科技业务管理系统升级”进行中，省科技厅支持申报建设科技项目系统，由省科技统一安排，因此该项目停止，剩余款项已退回财政。</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default" w:ascii="楷体_GB2312" w:hAnsi="楷体_GB2312" w:eastAsia="楷体_GB2312" w:cs="楷体_GB2312"/>
          <w:color w:val="000000"/>
          <w:kern w:val="0"/>
          <w:szCs w:val="32"/>
          <w:shd w:val="clear" w:color="auto" w:fill="FFFFFF"/>
          <w:lang w:val="en-US" w:eastAsia="zh-CN"/>
        </w:rPr>
      </w:pPr>
      <w:r>
        <w:rPr>
          <w:rFonts w:hint="eastAsia" w:ascii="楷体_GB2312" w:hAnsi="楷体_GB2312" w:eastAsia="楷体_GB2312" w:cs="楷体_GB2312"/>
          <w:color w:val="000000"/>
          <w:kern w:val="0"/>
          <w:szCs w:val="32"/>
          <w:shd w:val="clear" w:color="auto" w:fill="FFFFFF"/>
          <w:lang w:val="en-US" w:eastAsia="zh-CN"/>
        </w:rPr>
        <w:t>“乐山市科技管理信息系统建设研究”为两年项目，本年为第一年，按项目任务书进度安排，部分目标目前未实施。</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0"/>
        <w:contextualSpacing/>
        <w:jc w:val="both"/>
        <w:textAlignment w:val="auto"/>
        <w:rPr>
          <w:rFonts w:hint="eastAsia" w:ascii="楷体_GB2312" w:hAnsi="宋体" w:eastAsia="楷体_GB2312" w:cs="宋体"/>
          <w:color w:val="000000"/>
          <w:kern w:val="0"/>
          <w:szCs w:val="32"/>
          <w:highlight w:val="none"/>
          <w:shd w:val="clear" w:color="auto" w:fill="FFFFFF"/>
          <w:lang w:val="en-US" w:eastAsia="zh-CN"/>
        </w:rPr>
      </w:pPr>
      <w:r>
        <w:rPr>
          <w:rFonts w:hint="eastAsia" w:ascii="楷体_GB2312" w:hAnsi="宋体" w:eastAsia="楷体_GB2312" w:cs="宋体"/>
          <w:color w:val="000000"/>
          <w:kern w:val="0"/>
          <w:szCs w:val="32"/>
          <w:highlight w:val="none"/>
          <w:shd w:val="clear" w:color="auto" w:fill="FFFFFF"/>
          <w:lang w:val="en-US" w:eastAsia="zh-CN"/>
        </w:rPr>
        <w:t>②预算执行进度方面。</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0"/>
        <w:contextualSpacing/>
        <w:jc w:val="both"/>
        <w:textAlignment w:val="auto"/>
        <w:rPr>
          <w:rFonts w:hint="eastAsia" w:ascii="楷体_GB2312" w:hAnsi="宋体" w:eastAsia="楷体_GB2312" w:cs="宋体"/>
          <w:color w:val="000000"/>
          <w:kern w:val="0"/>
          <w:szCs w:val="32"/>
          <w:highlight w:val="none"/>
          <w:shd w:val="clear" w:color="auto" w:fill="FFFFFF"/>
          <w:lang w:val="en-US" w:eastAsia="zh-CN"/>
        </w:rPr>
      </w:pPr>
      <w:r>
        <w:rPr>
          <w:rFonts w:hint="eastAsia" w:ascii="楷体_GB2312" w:hAnsi="宋体" w:eastAsia="楷体_GB2312" w:cs="宋体"/>
          <w:color w:val="000000"/>
          <w:kern w:val="0"/>
          <w:szCs w:val="32"/>
          <w:highlight w:val="none"/>
          <w:shd w:val="clear" w:color="auto" w:fill="FFFFFF"/>
          <w:lang w:val="en-US" w:eastAsia="zh-CN"/>
        </w:rPr>
        <w:t>支付进度100%有8项，大于97%的有3项，该差异属于正常收支差异范围。剩余项目的支付进度均低于97%，原因有以下几点：</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firstLine="420" w:firstLineChars="0"/>
        <w:contextualSpacing/>
        <w:jc w:val="both"/>
        <w:textAlignment w:val="auto"/>
        <w:rPr>
          <w:rFonts w:hint="eastAsia" w:ascii="楷体_GB2312" w:hAnsi="宋体" w:eastAsia="楷体_GB2312" w:cs="宋体"/>
          <w:color w:val="000000"/>
          <w:kern w:val="0"/>
          <w:szCs w:val="32"/>
          <w:highlight w:val="none"/>
          <w:shd w:val="clear" w:color="auto" w:fill="FFFFFF"/>
          <w:lang w:val="en-US" w:eastAsia="zh-CN"/>
        </w:rPr>
      </w:pPr>
      <w:r>
        <w:rPr>
          <w:rFonts w:hint="eastAsia" w:ascii="楷体_GB2312" w:hAnsi="宋体" w:eastAsia="楷体_GB2312" w:cs="宋体"/>
          <w:color w:val="000000"/>
          <w:kern w:val="0"/>
          <w:szCs w:val="32"/>
          <w:highlight w:val="none"/>
          <w:shd w:val="clear" w:color="auto" w:fill="FFFFFF"/>
          <w:lang w:val="en-US" w:eastAsia="zh-CN"/>
        </w:rPr>
        <w:t>项目目标已完成，但存在应付未付的款项，待财政审批后支付。</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firstLine="420" w:firstLineChars="0"/>
        <w:contextualSpacing/>
        <w:jc w:val="both"/>
        <w:textAlignment w:val="auto"/>
        <w:rPr>
          <w:rFonts w:hint="default"/>
          <w:highlight w:val="none"/>
          <w:lang w:val="en-US"/>
        </w:rPr>
      </w:pPr>
      <w:r>
        <w:rPr>
          <w:rFonts w:hint="eastAsia" w:ascii="楷体_GB2312" w:hAnsi="宋体" w:eastAsia="楷体_GB2312" w:cs="宋体"/>
          <w:color w:val="000000"/>
          <w:kern w:val="0"/>
          <w:szCs w:val="32"/>
          <w:highlight w:val="none"/>
          <w:shd w:val="clear" w:color="auto" w:fill="FFFFFF"/>
          <w:lang w:val="en-US" w:eastAsia="zh-CN"/>
        </w:rPr>
        <w:t>项目为两年项目，本年度为第一年，支付进度应为50%左右。</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default"/>
          <w:highlight w:val="none"/>
          <w:lang w:val="en-US"/>
        </w:rPr>
      </w:pPr>
      <w:r>
        <w:rPr>
          <w:rFonts w:hint="eastAsia" w:ascii="楷体_GB2312" w:hAnsi="楷体_GB2312" w:eastAsia="楷体_GB2312" w:cs="楷体_GB2312"/>
          <w:color w:val="000000"/>
          <w:kern w:val="0"/>
          <w:szCs w:val="32"/>
          <w:highlight w:val="none"/>
          <w:shd w:val="clear" w:color="auto" w:fill="FFFFFF"/>
          <w:lang w:val="en-US" w:eastAsia="zh-CN"/>
        </w:rPr>
        <w:t>机构改革职能调整，政策变化导致项目停止或延迟支付，剩余款项已退回财政。</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楷体_GB2312" w:eastAsia="楷体_GB2312" w:cs="楷体_GB2312"/>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具体项目拨款与支出详见下表：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40"/>
        <w:gridCol w:w="2156"/>
        <w:gridCol w:w="1914"/>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预算项目</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财政拨款（元）</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决算数（元）</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51110022T000000286104-科技大楼安全鉴定费</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51110022T000000286106-2022年度物业管理费</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241000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241000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51110022T000000287699-科技项目评审费</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51110022T000000389852-多晶硅研究院运行经费</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51110022T000004811927-乐山市科学技术局食堂改造项目</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123600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123567.68</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51110022T000006633069-2022建国初期退休人员生活补助</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51110023T000008788607-（科技局）2022年第三批省级科技计划项目和新型冠状病毒科技攻关应急项目专项资金</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51110023T000008789142-（科技局）下达2022年第四批省级科技计划项目专项资金预算</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51110023T000009152824-2023年度科普工作经费</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27110.7</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51110023T000009152900-物业管理费</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388200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51110023T000009153009-乐山市科技业务管理系统升级</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28320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51110023T000009831128-2022年嘉州英才培育计划科技类人才项目</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51110023T000009831291-2022年高层次人才引进培养科技部门牵头资金支持项目</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51110022T000006209730-（科技局）2021年第三批省级科技计划项目专项资金</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76500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49,662.44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51110022T000006209730-（科技局）2021年第三批省级科技计划项目专项资金</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283400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82,330.02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51110023T000007676010-2022四川科技扶贫在线乐山市平台建设</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155,580.00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51110023T000007725864-出口绿茶提质增效关键技术集成与产业化示范（园区项目）</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44,640.00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51110023T000009864234-2022年度人才引进培养资助经费</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50,000.00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51110022T000006209730-（科技局）2021年第三批省级科技计划项目专项资金</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44,125.33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51110023T000009475021-乐山市科技管理信息系统建设研究</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254,240.00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63.56%</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highlight w:val="none"/>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highlight w:val="none"/>
          <w:shd w:val="clear" w:color="auto" w:fill="FFFFFF"/>
          <w:lang w:val="en-US" w:eastAsia="zh-CN"/>
        </w:rPr>
      </w:pPr>
      <w:r>
        <w:rPr>
          <w:rFonts w:hint="eastAsia" w:ascii="楷体_GB2312" w:hAnsi="宋体" w:eastAsia="楷体_GB2312" w:cs="宋体"/>
          <w:color w:val="000000"/>
          <w:kern w:val="0"/>
          <w:szCs w:val="32"/>
          <w:highlight w:val="none"/>
          <w:shd w:val="clear" w:color="auto" w:fill="FFFFFF"/>
          <w:lang w:val="en-US" w:eastAsia="zh-CN"/>
        </w:rPr>
        <w:t>③完成度方面。</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highlight w:val="none"/>
          <w:shd w:val="clear" w:color="auto" w:fill="FFFFFF"/>
          <w:lang w:val="en-US" w:eastAsia="zh-CN"/>
        </w:rPr>
      </w:pPr>
      <w:r>
        <w:rPr>
          <w:rFonts w:hint="eastAsia" w:ascii="楷体_GB2312" w:hAnsi="宋体" w:eastAsia="楷体_GB2312" w:cs="宋体"/>
          <w:color w:val="000000"/>
          <w:kern w:val="0"/>
          <w:szCs w:val="32"/>
          <w:highlight w:val="none"/>
          <w:shd w:val="clear" w:color="auto" w:fill="FFFFFF"/>
          <w:lang w:val="en-US" w:eastAsia="zh-CN"/>
        </w:rPr>
        <w:t>完结项目14项。延迟项目1项（2023年度科普工作经费），终止项目1项（乐山市科技业务管理系统升级），剩余4项为两年期项目，于明年完结。</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宋体" w:eastAsia="仿宋_GB2312" w:cs="宋体"/>
          <w:color w:val="000000"/>
          <w:kern w:val="0"/>
          <w:szCs w:val="32"/>
          <w:highlight w:val="none"/>
          <w:shd w:val="clear" w:color="auto" w:fill="FFFFFF"/>
          <w:lang w:val="zh-CN"/>
        </w:rPr>
      </w:pPr>
      <w:r>
        <w:rPr>
          <w:rFonts w:hint="eastAsia" w:ascii="仿宋_GB2312" w:hAnsi="宋体" w:eastAsia="仿宋_GB2312" w:cs="宋体"/>
          <w:color w:val="000000"/>
          <w:kern w:val="0"/>
          <w:szCs w:val="32"/>
          <w:highlight w:val="none"/>
          <w:shd w:val="clear" w:color="auto" w:fill="FFFFFF"/>
          <w:lang w:val="zh-CN"/>
        </w:rPr>
        <w:t>④资金结余率和违规记录。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仿宋_GB2312" w:hAnsi="宋体" w:eastAsia="仿宋_GB2312" w:cs="宋体"/>
          <w:color w:val="000000"/>
          <w:kern w:val="0"/>
          <w:szCs w:val="32"/>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202</w:t>
      </w:r>
      <w:r>
        <w:rPr>
          <w:rFonts w:hint="eastAsia" w:ascii="楷体_GB2312" w:hAnsi="楷体_GB2312" w:eastAsia="楷体_GB2312" w:cs="楷体_GB2312"/>
          <w:color w:val="000000"/>
          <w:kern w:val="0"/>
          <w:szCs w:val="32"/>
          <w:highlight w:val="none"/>
          <w:shd w:val="clear" w:color="auto" w:fill="FFFFFF"/>
          <w:lang w:val="en-US" w:eastAsia="zh-CN"/>
        </w:rPr>
        <w:t>3</w:t>
      </w:r>
      <w:r>
        <w:rPr>
          <w:rFonts w:hint="eastAsia" w:ascii="楷体_GB2312" w:hAnsi="楷体_GB2312" w:eastAsia="楷体_GB2312" w:cs="楷体_GB2312"/>
          <w:color w:val="000000"/>
          <w:kern w:val="0"/>
          <w:szCs w:val="32"/>
          <w:highlight w:val="none"/>
          <w:shd w:val="clear" w:color="auto" w:fill="FFFFFF"/>
          <w:lang w:val="zh-CN"/>
        </w:rPr>
        <w:t>年局机关以及下属单位收入项目预算安排总额</w:t>
      </w:r>
      <w:r>
        <w:rPr>
          <w:rFonts w:hint="eastAsia" w:ascii="楷体_GB2312" w:hAnsi="楷体_GB2312" w:eastAsia="楷体_GB2312" w:cs="楷体_GB2312"/>
          <w:color w:val="000000"/>
          <w:kern w:val="0"/>
          <w:szCs w:val="32"/>
          <w:highlight w:val="none"/>
          <w:shd w:val="clear" w:color="auto" w:fill="FFFFFF"/>
          <w:lang w:val="en-US" w:eastAsia="zh-CN"/>
        </w:rPr>
        <w:t>426.43</w:t>
      </w:r>
      <w:r>
        <w:rPr>
          <w:rFonts w:hint="eastAsia" w:ascii="楷体_GB2312" w:hAnsi="楷体_GB2312" w:eastAsia="楷体_GB2312" w:cs="楷体_GB2312"/>
          <w:color w:val="000000"/>
          <w:kern w:val="0"/>
          <w:szCs w:val="32"/>
          <w:highlight w:val="none"/>
          <w:shd w:val="clear" w:color="auto" w:fill="FFFFFF"/>
          <w:lang w:val="zh-CN"/>
        </w:rPr>
        <w:t>万元，支出总额</w:t>
      </w:r>
      <w:r>
        <w:rPr>
          <w:rFonts w:hint="eastAsia" w:ascii="楷体_GB2312" w:hAnsi="楷体_GB2312" w:eastAsia="楷体_GB2312" w:cs="楷体_GB2312"/>
          <w:color w:val="000000"/>
          <w:kern w:val="0"/>
          <w:szCs w:val="32"/>
          <w:highlight w:val="none"/>
          <w:shd w:val="clear" w:color="auto" w:fill="FFFFFF"/>
          <w:lang w:val="en-US" w:eastAsia="zh-CN"/>
        </w:rPr>
        <w:t>330.86</w:t>
      </w:r>
      <w:r>
        <w:rPr>
          <w:rFonts w:hint="eastAsia" w:ascii="楷体_GB2312" w:hAnsi="楷体_GB2312" w:eastAsia="楷体_GB2312" w:cs="楷体_GB2312"/>
          <w:color w:val="000000"/>
          <w:kern w:val="0"/>
          <w:szCs w:val="32"/>
          <w:highlight w:val="none"/>
          <w:shd w:val="clear" w:color="auto" w:fill="FFFFFF"/>
          <w:lang w:val="zh-CN"/>
        </w:rPr>
        <w:t>万元。结余</w:t>
      </w:r>
      <w:r>
        <w:rPr>
          <w:rFonts w:hint="eastAsia" w:ascii="楷体_GB2312" w:hAnsi="楷体_GB2312" w:eastAsia="楷体_GB2312" w:cs="楷体_GB2312"/>
          <w:color w:val="000000"/>
          <w:kern w:val="0"/>
          <w:szCs w:val="32"/>
          <w:highlight w:val="none"/>
          <w:shd w:val="clear" w:color="auto" w:fill="FFFFFF"/>
          <w:lang w:val="en-US" w:eastAsia="zh-CN"/>
        </w:rPr>
        <w:t>95.57万元；</w:t>
      </w:r>
      <w:r>
        <w:rPr>
          <w:rFonts w:hint="eastAsia" w:ascii="楷体_GB2312" w:hAnsi="楷体_GB2312" w:eastAsia="楷体_GB2312" w:cs="楷体_GB2312"/>
          <w:color w:val="000000"/>
          <w:kern w:val="0"/>
          <w:szCs w:val="32"/>
          <w:highlight w:val="none"/>
          <w:shd w:val="clear" w:color="auto" w:fill="FFFFFF"/>
          <w:lang w:val="zh-CN"/>
        </w:rPr>
        <w:t>202</w:t>
      </w:r>
      <w:r>
        <w:rPr>
          <w:rFonts w:hint="eastAsia" w:ascii="楷体_GB2312" w:hAnsi="楷体_GB2312" w:eastAsia="楷体_GB2312" w:cs="楷体_GB2312"/>
          <w:color w:val="000000"/>
          <w:kern w:val="0"/>
          <w:szCs w:val="32"/>
          <w:highlight w:val="none"/>
          <w:shd w:val="clear" w:color="auto" w:fill="FFFFFF"/>
          <w:lang w:val="en-US" w:eastAsia="zh-CN"/>
        </w:rPr>
        <w:t>3</w:t>
      </w:r>
      <w:r>
        <w:rPr>
          <w:rFonts w:hint="eastAsia" w:ascii="楷体_GB2312" w:hAnsi="楷体_GB2312" w:eastAsia="楷体_GB2312" w:cs="楷体_GB2312"/>
          <w:color w:val="000000"/>
          <w:kern w:val="0"/>
          <w:szCs w:val="32"/>
          <w:highlight w:val="none"/>
          <w:shd w:val="clear" w:color="auto" w:fill="FFFFFF"/>
          <w:lang w:val="zh-CN"/>
        </w:rPr>
        <w:t>年市级项目预算安排</w:t>
      </w:r>
      <w:r>
        <w:rPr>
          <w:rFonts w:hint="eastAsia" w:ascii="楷体_GB2312" w:hAnsi="楷体_GB2312" w:eastAsia="楷体_GB2312" w:cs="楷体_GB2312"/>
          <w:color w:val="000000"/>
          <w:kern w:val="0"/>
          <w:szCs w:val="32"/>
          <w:highlight w:val="none"/>
          <w:shd w:val="clear" w:color="auto" w:fill="FFFFFF"/>
          <w:lang w:val="en-US" w:eastAsia="zh-CN"/>
        </w:rPr>
        <w:t>313.84</w:t>
      </w:r>
      <w:r>
        <w:rPr>
          <w:rFonts w:hint="eastAsia" w:ascii="楷体_GB2312" w:hAnsi="楷体_GB2312" w:eastAsia="楷体_GB2312" w:cs="楷体_GB2312"/>
          <w:color w:val="000000"/>
          <w:kern w:val="0"/>
          <w:szCs w:val="32"/>
          <w:highlight w:val="none"/>
          <w:shd w:val="clear" w:color="auto" w:fill="FFFFFF"/>
          <w:lang w:val="zh-CN" w:eastAsia="zh-CN"/>
        </w:rPr>
        <w:t>万元</w:t>
      </w:r>
      <w:r>
        <w:rPr>
          <w:rFonts w:hint="eastAsia" w:ascii="楷体_GB2312" w:hAnsi="楷体_GB2312" w:eastAsia="楷体_GB2312" w:cs="楷体_GB2312"/>
          <w:color w:val="000000"/>
          <w:kern w:val="0"/>
          <w:szCs w:val="32"/>
          <w:highlight w:val="none"/>
          <w:shd w:val="clear" w:color="auto" w:fill="FFFFFF"/>
          <w:lang w:val="zh-CN"/>
        </w:rPr>
        <w:t>，支出总额</w:t>
      </w:r>
      <w:r>
        <w:rPr>
          <w:rFonts w:hint="eastAsia" w:ascii="楷体_GB2312" w:hAnsi="楷体_GB2312" w:eastAsia="楷体_GB2312" w:cs="楷体_GB2312"/>
          <w:color w:val="000000"/>
          <w:kern w:val="0"/>
          <w:szCs w:val="32"/>
          <w:highlight w:val="none"/>
          <w:shd w:val="clear" w:color="auto" w:fill="FFFFFF"/>
          <w:lang w:val="en-US" w:eastAsia="zh-CN"/>
        </w:rPr>
        <w:t>243.25</w:t>
      </w:r>
      <w:r>
        <w:rPr>
          <w:rFonts w:hint="eastAsia" w:ascii="楷体_GB2312" w:hAnsi="楷体_GB2312" w:eastAsia="楷体_GB2312" w:cs="楷体_GB2312"/>
          <w:color w:val="000000"/>
          <w:kern w:val="0"/>
          <w:szCs w:val="32"/>
          <w:highlight w:val="none"/>
          <w:shd w:val="clear" w:color="auto" w:fill="FFFFFF"/>
          <w:lang w:val="zh-CN"/>
        </w:rPr>
        <w:t>万元，结余</w:t>
      </w:r>
      <w:r>
        <w:rPr>
          <w:rFonts w:hint="eastAsia" w:ascii="楷体_GB2312" w:hAnsi="楷体_GB2312" w:eastAsia="楷体_GB2312" w:cs="楷体_GB2312"/>
          <w:color w:val="000000"/>
          <w:kern w:val="0"/>
          <w:szCs w:val="32"/>
          <w:highlight w:val="none"/>
          <w:shd w:val="clear" w:color="auto" w:fill="FFFFFF"/>
          <w:lang w:val="en-US" w:eastAsia="zh-CN"/>
        </w:rPr>
        <w:t>70.59</w:t>
      </w:r>
      <w:r>
        <w:rPr>
          <w:rFonts w:hint="eastAsia" w:ascii="楷体_GB2312" w:hAnsi="楷体_GB2312" w:eastAsia="楷体_GB2312" w:cs="楷体_GB2312"/>
          <w:color w:val="000000"/>
          <w:kern w:val="0"/>
          <w:szCs w:val="32"/>
          <w:highlight w:val="none"/>
          <w:shd w:val="clear" w:color="auto" w:fill="FFFFFF"/>
          <w:lang w:val="zh-CN"/>
        </w:rPr>
        <w:t>万元；202</w:t>
      </w:r>
      <w:r>
        <w:rPr>
          <w:rFonts w:hint="eastAsia" w:ascii="楷体_GB2312" w:hAnsi="楷体_GB2312" w:eastAsia="楷体_GB2312" w:cs="楷体_GB2312"/>
          <w:color w:val="000000"/>
          <w:kern w:val="0"/>
          <w:szCs w:val="32"/>
          <w:highlight w:val="none"/>
          <w:shd w:val="clear" w:color="auto" w:fill="FFFFFF"/>
          <w:lang w:val="en-US" w:eastAsia="zh-CN"/>
        </w:rPr>
        <w:t>3</w:t>
      </w:r>
      <w:r>
        <w:rPr>
          <w:rFonts w:hint="eastAsia" w:ascii="楷体_GB2312" w:hAnsi="楷体_GB2312" w:eastAsia="楷体_GB2312" w:cs="楷体_GB2312"/>
          <w:color w:val="000000"/>
          <w:kern w:val="0"/>
          <w:szCs w:val="32"/>
          <w:highlight w:val="none"/>
          <w:shd w:val="clear" w:color="auto" w:fill="FFFFFF"/>
          <w:lang w:val="zh-CN"/>
        </w:rPr>
        <w:t>年省级项目预算安排</w:t>
      </w:r>
      <w:r>
        <w:rPr>
          <w:rFonts w:hint="eastAsia" w:ascii="楷体_GB2312" w:hAnsi="楷体_GB2312" w:eastAsia="楷体_GB2312" w:cs="楷体_GB2312"/>
          <w:color w:val="000000"/>
          <w:kern w:val="0"/>
          <w:szCs w:val="32"/>
          <w:highlight w:val="none"/>
          <w:shd w:val="clear" w:color="auto" w:fill="FFFFFF"/>
          <w:lang w:val="en-US" w:eastAsia="zh-CN"/>
        </w:rPr>
        <w:t>112.59</w:t>
      </w:r>
      <w:r>
        <w:rPr>
          <w:rFonts w:hint="eastAsia" w:ascii="楷体_GB2312" w:hAnsi="楷体_GB2312" w:eastAsia="楷体_GB2312" w:cs="楷体_GB2312"/>
          <w:color w:val="000000"/>
          <w:kern w:val="0"/>
          <w:szCs w:val="32"/>
          <w:highlight w:val="none"/>
          <w:shd w:val="clear" w:color="auto" w:fill="FFFFFF"/>
          <w:lang w:val="zh-CN" w:eastAsia="zh-CN"/>
        </w:rPr>
        <w:t>万元</w:t>
      </w:r>
      <w:r>
        <w:rPr>
          <w:rFonts w:hint="eastAsia" w:ascii="楷体_GB2312" w:hAnsi="楷体_GB2312" w:eastAsia="楷体_GB2312" w:cs="楷体_GB2312"/>
          <w:color w:val="000000"/>
          <w:kern w:val="0"/>
          <w:szCs w:val="32"/>
          <w:highlight w:val="none"/>
          <w:shd w:val="clear" w:color="auto" w:fill="FFFFFF"/>
          <w:lang w:val="zh-CN"/>
        </w:rPr>
        <w:t>，支出总额</w:t>
      </w:r>
      <w:r>
        <w:rPr>
          <w:rFonts w:hint="eastAsia" w:ascii="楷体_GB2312" w:hAnsi="楷体_GB2312" w:eastAsia="楷体_GB2312" w:cs="楷体_GB2312"/>
          <w:color w:val="000000"/>
          <w:kern w:val="0"/>
          <w:szCs w:val="32"/>
          <w:highlight w:val="none"/>
          <w:shd w:val="clear" w:color="auto" w:fill="FFFFFF"/>
          <w:lang w:val="en-US" w:eastAsia="zh-CN"/>
        </w:rPr>
        <w:t>87.61</w:t>
      </w:r>
      <w:r>
        <w:rPr>
          <w:rFonts w:hint="eastAsia" w:ascii="楷体_GB2312" w:hAnsi="楷体_GB2312" w:eastAsia="楷体_GB2312" w:cs="楷体_GB2312"/>
          <w:color w:val="000000"/>
          <w:kern w:val="0"/>
          <w:szCs w:val="32"/>
          <w:highlight w:val="none"/>
          <w:shd w:val="clear" w:color="auto" w:fill="FFFFFF"/>
          <w:lang w:val="zh-CN"/>
        </w:rPr>
        <w:t>万元，结余</w:t>
      </w:r>
      <w:r>
        <w:rPr>
          <w:rFonts w:hint="eastAsia" w:ascii="楷体_GB2312" w:hAnsi="楷体_GB2312" w:eastAsia="楷体_GB2312" w:cs="楷体_GB2312"/>
          <w:color w:val="000000"/>
          <w:kern w:val="0"/>
          <w:szCs w:val="32"/>
          <w:highlight w:val="none"/>
          <w:shd w:val="clear" w:color="auto" w:fill="FFFFFF"/>
          <w:lang w:val="en-US" w:eastAsia="zh-CN"/>
        </w:rPr>
        <w:t>24.98</w:t>
      </w:r>
      <w:r>
        <w:rPr>
          <w:rFonts w:hint="eastAsia" w:ascii="楷体_GB2312" w:hAnsi="楷体_GB2312" w:eastAsia="楷体_GB2312" w:cs="楷体_GB2312"/>
          <w:color w:val="000000"/>
          <w:kern w:val="0"/>
          <w:szCs w:val="32"/>
          <w:highlight w:val="none"/>
          <w:shd w:val="clear" w:color="auto" w:fill="FFFFFF"/>
          <w:lang w:val="zh-CN"/>
        </w:rPr>
        <w:t>万元。结余率较上年有所增加，有待改进。</w:t>
      </w:r>
      <w:r>
        <w:rPr>
          <w:rFonts w:hint="eastAsia" w:ascii="仿宋_GB2312" w:hAnsi="宋体" w:eastAsia="仿宋_GB2312" w:cs="宋体"/>
          <w:color w:val="000000"/>
          <w:kern w:val="0"/>
          <w:szCs w:val="32"/>
          <w:highlight w:val="none"/>
          <w:shd w:val="clear" w:color="auto" w:fill="FFFFFF"/>
          <w:lang w:val="zh-CN"/>
        </w:rPr>
        <w:t>本年度无违规记录。</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仿宋_GB2312" w:hAnsi="宋体" w:eastAsia="仿宋_GB2312" w:cs="宋体"/>
          <w:color w:val="000000"/>
          <w:kern w:val="0"/>
          <w:szCs w:val="32"/>
          <w:shd w:val="clear" w:color="auto" w:fill="FFFFFF"/>
          <w:lang w:val="zh-CN"/>
        </w:rPr>
      </w:pPr>
      <w:r>
        <w:rPr>
          <w:rFonts w:hint="eastAsia" w:ascii="仿宋_GB2312" w:hAnsi="宋体" w:eastAsia="仿宋_GB2312" w:cs="宋体"/>
          <w:color w:val="000000"/>
          <w:kern w:val="0"/>
          <w:szCs w:val="32"/>
          <w:shd w:val="clear" w:color="auto" w:fill="FFFFFF"/>
          <w:lang w:val="zh-CN"/>
        </w:rPr>
        <w:t>2.100万以上项目：</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仿宋_GB2312" w:hAnsi="宋体" w:eastAsia="仿宋_GB2312" w:cs="宋体"/>
          <w:color w:val="000000"/>
          <w:kern w:val="0"/>
          <w:szCs w:val="32"/>
          <w:shd w:val="clear" w:color="auto" w:fill="FFFFFF"/>
          <w:lang w:val="en-US" w:eastAsia="zh-CN"/>
        </w:rPr>
      </w:pPr>
      <w:r>
        <w:rPr>
          <w:rFonts w:hint="eastAsia" w:ascii="仿宋_GB2312" w:hAnsi="宋体" w:eastAsia="仿宋_GB2312" w:cs="宋体"/>
          <w:color w:val="000000"/>
          <w:kern w:val="0"/>
          <w:szCs w:val="32"/>
          <w:shd w:val="clear" w:color="auto" w:fill="FFFFFF"/>
          <w:lang w:val="zh-CN"/>
        </w:rPr>
        <w:t>本年度无</w:t>
      </w:r>
      <w:r>
        <w:rPr>
          <w:rFonts w:hint="eastAsia" w:ascii="仿宋_GB2312" w:hAnsi="宋体" w:eastAsia="仿宋_GB2312" w:cs="宋体"/>
          <w:color w:val="000000"/>
          <w:kern w:val="0"/>
          <w:szCs w:val="32"/>
          <w:shd w:val="clear" w:color="auto" w:fill="FFFFFF"/>
          <w:lang w:val="en-US" w:eastAsia="zh-CN"/>
        </w:rPr>
        <w:t>100万以上项目。</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（三）结果应用情况。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仿宋_GB2312" w:hAnsi="宋体" w:eastAsia="仿宋_GB2312" w:cs="宋体"/>
          <w:color w:val="000000"/>
          <w:kern w:val="0"/>
          <w:szCs w:val="32"/>
          <w:shd w:val="clear" w:color="auto" w:fill="FFFFFF"/>
          <w:lang w:val="zh-CN"/>
        </w:rPr>
      </w:pPr>
      <w:r>
        <w:rPr>
          <w:rFonts w:hint="eastAsia" w:ascii="楷体_GB2312" w:hAnsi="楷体_GB2312" w:eastAsia="楷体_GB2312" w:cs="楷体_GB2312"/>
          <w:b w:val="0"/>
          <w:color w:val="000000"/>
          <w:kern w:val="0"/>
          <w:sz w:val="32"/>
          <w:szCs w:val="32"/>
          <w:shd w:val="clear" w:color="auto" w:fill="FFFFFF"/>
          <w:lang w:val="zh-CN" w:eastAsia="zh-CN" w:bidi="ar-SA"/>
        </w:rPr>
        <w:t>本部门高度重视财政资金的支出绩效工作，对财政下达给本部门的经费，省级转移的项目，制度健全、管理规范，严格执行财务管理各项规定，杜绝奢侈浪费，确保了财政资金支出的均衡平稳，科学合理。在完成一般性支出压减的情况下，确保机关运行和重大项目的实施，争取完成年初任务。</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黑体" w:hAnsi="黑体" w:eastAsia="黑体" w:cs="宋体"/>
          <w:color w:val="000000"/>
          <w:kern w:val="0"/>
          <w:szCs w:val="32"/>
          <w:shd w:val="clear" w:color="auto" w:fill="FFFFFF"/>
        </w:rPr>
      </w:pPr>
      <w:r>
        <w:rPr>
          <w:rFonts w:hint="eastAsia" w:ascii="黑体" w:hAnsi="黑体" w:eastAsia="黑体" w:cs="宋体"/>
          <w:color w:val="000000"/>
          <w:kern w:val="0"/>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从自评情况来看，市科技局预、决算编制较为合理，支出规范，财政支出对保障机关正常运行，保障重点项目实施，财政支出绩效良好，综合考核自评得分为</w:t>
      </w:r>
      <w:r>
        <w:rPr>
          <w:rFonts w:hint="eastAsia" w:ascii="楷体_GB2312" w:hAnsi="宋体" w:eastAsia="楷体_GB2312" w:cs="宋体"/>
          <w:color w:val="000000"/>
          <w:kern w:val="0"/>
          <w:szCs w:val="32"/>
          <w:shd w:val="clear" w:color="auto" w:fill="FFFFFF"/>
          <w:lang w:val="en-US" w:eastAsia="zh-CN"/>
        </w:rPr>
        <w:t>84.8</w:t>
      </w:r>
      <w:r>
        <w:rPr>
          <w:rFonts w:hint="eastAsia" w:ascii="楷体_GB2312" w:hAnsi="宋体" w:eastAsia="楷体_GB2312" w:cs="宋体"/>
          <w:color w:val="000000"/>
          <w:kern w:val="0"/>
          <w:szCs w:val="32"/>
          <w:shd w:val="clear" w:color="auto" w:fill="FFFFFF"/>
          <w:lang w:val="zh-CN"/>
        </w:rPr>
        <w:t>分。</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_GB2312" w:hAnsi="宋体" w:eastAsia="楷体_GB2312" w:cs="宋体"/>
          <w:color w:val="000000"/>
          <w:kern w:val="0"/>
          <w:szCs w:val="32"/>
          <w:highlight w:val="none"/>
          <w:shd w:val="clear" w:color="auto" w:fill="FFFFFF"/>
          <w:lang w:val="zh-CN"/>
        </w:rPr>
      </w:pPr>
      <w:r>
        <w:rPr>
          <w:rFonts w:hint="eastAsia" w:ascii="楷体_GB2312" w:hAnsi="宋体" w:eastAsia="楷体_GB2312" w:cs="宋体"/>
          <w:color w:val="000000"/>
          <w:kern w:val="0"/>
          <w:szCs w:val="32"/>
          <w:highlight w:val="none"/>
          <w:shd w:val="clear" w:color="auto" w:fill="FFFFFF"/>
          <w:lang w:val="zh-CN"/>
        </w:rPr>
        <w:t>存在问题。</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highlight w:val="none"/>
          <w:shd w:val="clear" w:color="auto" w:fill="FFFFFF"/>
          <w:lang w:val="en-US" w:eastAsia="zh-CN"/>
        </w:rPr>
      </w:pPr>
      <w:r>
        <w:rPr>
          <w:rFonts w:hint="eastAsia" w:ascii="楷体_GB2312" w:hAnsi="宋体" w:eastAsia="楷体_GB2312" w:cs="宋体"/>
          <w:color w:val="000000"/>
          <w:kern w:val="0"/>
          <w:szCs w:val="32"/>
          <w:highlight w:val="none"/>
          <w:shd w:val="clear" w:color="auto" w:fill="FFFFFF"/>
          <w:lang w:val="en-US" w:eastAsia="zh-CN"/>
        </w:rPr>
        <w:t>1、支付进度方面有待加强。应及更加时报地送财政审批，及时推进款项的支付。</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en-US" w:eastAsia="zh-CN"/>
        </w:rPr>
        <w:t>2、未</w:t>
      </w:r>
      <w:r>
        <w:rPr>
          <w:rFonts w:hint="eastAsia" w:ascii="楷体_GB2312" w:hAnsi="宋体" w:eastAsia="楷体_GB2312" w:cs="宋体"/>
          <w:color w:val="000000"/>
          <w:kern w:val="0"/>
          <w:szCs w:val="32"/>
          <w:shd w:val="clear" w:color="auto" w:fill="FFFFFF"/>
          <w:lang w:val="zh-CN"/>
        </w:rPr>
        <w:t>及时地了解项目政策变动，导致项目延迟或终止。</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0" w:leftChars="0"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改进建议。</w:t>
      </w:r>
    </w:p>
    <w:p>
      <w:pPr>
        <w:pStyle w:val="6"/>
        <w:keepNext w:val="0"/>
        <w:keepLines w:val="0"/>
        <w:pageBreakBefore w:val="0"/>
        <w:numPr>
          <w:ilvl w:val="0"/>
          <w:numId w:val="8"/>
        </w:numPr>
        <w:kinsoku/>
        <w:wordWrap/>
        <w:overflowPunct/>
        <w:topLinePunct w:val="0"/>
        <w:autoSpaceDE/>
        <w:autoSpaceDN/>
        <w:bidi w:val="0"/>
        <w:adjustRightInd w:val="0"/>
        <w:snapToGrid w:val="0"/>
        <w:spacing w:line="360" w:lineRule="auto"/>
        <w:ind w:firstLine="420" w:firstLineChars="0"/>
        <w:jc w:val="left"/>
        <w:textAlignment w:val="auto"/>
        <w:rPr>
          <w:rFonts w:hint="eastAsia" w:ascii="楷体_GB2312" w:hAnsi="宋体" w:eastAsia="楷体_GB2312" w:cs="宋体"/>
          <w:b w:val="0"/>
          <w:color w:val="000000"/>
          <w:kern w:val="0"/>
          <w:sz w:val="32"/>
          <w:szCs w:val="32"/>
          <w:shd w:val="clear" w:color="auto" w:fill="FFFFFF"/>
          <w:lang w:val="en-US" w:eastAsia="zh-CN" w:bidi="ar-SA"/>
        </w:rPr>
      </w:pPr>
      <w:r>
        <w:rPr>
          <w:rFonts w:hint="eastAsia" w:ascii="楷体_GB2312" w:hAnsi="宋体" w:eastAsia="楷体_GB2312" w:cs="宋体"/>
          <w:b w:val="0"/>
          <w:color w:val="000000"/>
          <w:kern w:val="0"/>
          <w:sz w:val="32"/>
          <w:szCs w:val="32"/>
          <w:shd w:val="clear" w:color="auto" w:fill="FFFFFF"/>
          <w:lang w:val="en-US" w:eastAsia="zh-CN" w:bidi="ar-SA"/>
        </w:rPr>
        <w:t>逐步强化支付进度。强化绩效监控，及时发现问题，结决问题，确保项目支付的准确性和及时性。</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320" w:firstLineChars="1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en-US" w:eastAsia="zh-CN"/>
        </w:rPr>
        <w:t>2、</w:t>
      </w:r>
      <w:r>
        <w:rPr>
          <w:rFonts w:hint="eastAsia" w:ascii="楷体_GB2312" w:hAnsi="宋体" w:eastAsia="楷体_GB2312" w:cs="宋体"/>
          <w:color w:val="000000"/>
          <w:kern w:val="0"/>
          <w:szCs w:val="32"/>
          <w:shd w:val="clear" w:color="auto" w:fill="FFFFFF"/>
          <w:lang w:val="zh-CN"/>
        </w:rPr>
        <w:t>及时地了解项目政策变动，避免项目延迟或终止。</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仿宋S"/>
    <w:panose1 w:val="00000000000000000000"/>
    <w:charset w:val="00"/>
    <w:family w:val="roman"/>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宋体"/>
    <w:panose1 w:val="02010609030101010101"/>
    <w:charset w:val="86"/>
    <w:family w:val="modern"/>
    <w:pitch w:val="default"/>
    <w:sig w:usb0="00000000" w:usb1="00000000" w:usb2="0000001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4"/>
      <w:tabs>
        <w:tab w:val="right" w:pos="9184"/>
        <w:tab w:val="clear" w:pos="4153"/>
        <w:tab w:val="clear" w:pos="8306"/>
      </w:tabs>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56400"/>
    <w:multiLevelType w:val="singleLevel"/>
    <w:tmpl w:val="9BA56400"/>
    <w:lvl w:ilvl="0" w:tentative="0">
      <w:start w:val="1"/>
      <w:numFmt w:val="decimal"/>
      <w:lvlText w:val="%1."/>
      <w:lvlJc w:val="left"/>
      <w:pPr>
        <w:tabs>
          <w:tab w:val="left" w:pos="312"/>
        </w:tabs>
      </w:pPr>
    </w:lvl>
  </w:abstractNum>
  <w:abstractNum w:abstractNumId="1">
    <w:nsid w:val="9FFC4122"/>
    <w:multiLevelType w:val="singleLevel"/>
    <w:tmpl w:val="9FFC4122"/>
    <w:lvl w:ilvl="0" w:tentative="0">
      <w:start w:val="2"/>
      <w:numFmt w:val="chineseCounting"/>
      <w:suff w:val="nothing"/>
      <w:lvlText w:val="（%1）"/>
      <w:lvlJc w:val="left"/>
      <w:rPr>
        <w:rFonts w:hint="eastAsia"/>
      </w:rPr>
    </w:lvl>
  </w:abstractNum>
  <w:abstractNum w:abstractNumId="2">
    <w:nsid w:val="A7FBB743"/>
    <w:multiLevelType w:val="singleLevel"/>
    <w:tmpl w:val="A7FBB743"/>
    <w:lvl w:ilvl="0" w:tentative="0">
      <w:start w:val="1"/>
      <w:numFmt w:val="decimal"/>
      <w:lvlText w:val="%1."/>
      <w:lvlJc w:val="left"/>
      <w:pPr>
        <w:tabs>
          <w:tab w:val="left" w:pos="312"/>
        </w:tabs>
      </w:pPr>
    </w:lvl>
  </w:abstractNum>
  <w:abstractNum w:abstractNumId="3">
    <w:nsid w:val="B9D64873"/>
    <w:multiLevelType w:val="singleLevel"/>
    <w:tmpl w:val="B9D64873"/>
    <w:lvl w:ilvl="0" w:tentative="0">
      <w:start w:val="1"/>
      <w:numFmt w:val="decimal"/>
      <w:suff w:val="nothing"/>
      <w:lvlText w:val="（%1）"/>
      <w:lvlJc w:val="left"/>
    </w:lvl>
  </w:abstractNum>
  <w:abstractNum w:abstractNumId="4">
    <w:nsid w:val="CAF69284"/>
    <w:multiLevelType w:val="singleLevel"/>
    <w:tmpl w:val="CAF69284"/>
    <w:lvl w:ilvl="0" w:tentative="0">
      <w:start w:val="2"/>
      <w:numFmt w:val="chineseCounting"/>
      <w:suff w:val="nothing"/>
      <w:lvlText w:val="（%1）"/>
      <w:lvlJc w:val="left"/>
      <w:rPr>
        <w:rFonts w:hint="eastAsia"/>
      </w:rPr>
    </w:lvl>
  </w:abstractNum>
  <w:abstractNum w:abstractNumId="5">
    <w:nsid w:val="FEFA095F"/>
    <w:multiLevelType w:val="singleLevel"/>
    <w:tmpl w:val="FEFA095F"/>
    <w:lvl w:ilvl="0" w:tentative="0">
      <w:start w:val="2"/>
      <w:numFmt w:val="chineseCounting"/>
      <w:suff w:val="nothing"/>
      <w:lvlText w:val="（%1）"/>
      <w:lvlJc w:val="left"/>
      <w:rPr>
        <w:rFonts w:hint="eastAsia"/>
      </w:rPr>
    </w:lvl>
  </w:abstractNum>
  <w:abstractNum w:abstractNumId="6">
    <w:nsid w:val="57EFA0D6"/>
    <w:multiLevelType w:val="singleLevel"/>
    <w:tmpl w:val="57EFA0D6"/>
    <w:lvl w:ilvl="0" w:tentative="0">
      <w:start w:val="1"/>
      <w:numFmt w:val="decimal"/>
      <w:suff w:val="nothing"/>
      <w:lvlText w:val="（%1）"/>
      <w:lvlJc w:val="left"/>
    </w:lvl>
  </w:abstractNum>
  <w:abstractNum w:abstractNumId="7">
    <w:nsid w:val="5C8DE5FB"/>
    <w:multiLevelType w:val="singleLevel"/>
    <w:tmpl w:val="5C8DE5FB"/>
    <w:lvl w:ilvl="0" w:tentative="0">
      <w:start w:val="1"/>
      <w:numFmt w:val="decimal"/>
      <w:suff w:val="nothing"/>
      <w:lvlText w:val="%1、"/>
      <w:lvlJc w:val="left"/>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0174"/>
    <w:rsid w:val="00006E4D"/>
    <w:rsid w:val="00021652"/>
    <w:rsid w:val="00030311"/>
    <w:rsid w:val="00030782"/>
    <w:rsid w:val="00030B66"/>
    <w:rsid w:val="00052572"/>
    <w:rsid w:val="0006068D"/>
    <w:rsid w:val="0006102A"/>
    <w:rsid w:val="00065B0F"/>
    <w:rsid w:val="00065E7E"/>
    <w:rsid w:val="000820BB"/>
    <w:rsid w:val="0008241B"/>
    <w:rsid w:val="00092280"/>
    <w:rsid w:val="00097FAE"/>
    <w:rsid w:val="000A3233"/>
    <w:rsid w:val="000A7486"/>
    <w:rsid w:val="000A7CE3"/>
    <w:rsid w:val="000B04D6"/>
    <w:rsid w:val="000B15CE"/>
    <w:rsid w:val="000C40C6"/>
    <w:rsid w:val="000C79C1"/>
    <w:rsid w:val="000D208A"/>
    <w:rsid w:val="000E037E"/>
    <w:rsid w:val="000F659A"/>
    <w:rsid w:val="000F77B0"/>
    <w:rsid w:val="0010235D"/>
    <w:rsid w:val="00103A47"/>
    <w:rsid w:val="00106277"/>
    <w:rsid w:val="00106D4D"/>
    <w:rsid w:val="001119A2"/>
    <w:rsid w:val="001221D6"/>
    <w:rsid w:val="0012510A"/>
    <w:rsid w:val="00125F67"/>
    <w:rsid w:val="001261AE"/>
    <w:rsid w:val="001348A4"/>
    <w:rsid w:val="0014117C"/>
    <w:rsid w:val="00146FE8"/>
    <w:rsid w:val="0014767B"/>
    <w:rsid w:val="00147AED"/>
    <w:rsid w:val="00154C87"/>
    <w:rsid w:val="001769C6"/>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D76D5"/>
    <w:rsid w:val="002E1104"/>
    <w:rsid w:val="002E3FDD"/>
    <w:rsid w:val="00300EF4"/>
    <w:rsid w:val="00301353"/>
    <w:rsid w:val="00305FF6"/>
    <w:rsid w:val="00307568"/>
    <w:rsid w:val="00311506"/>
    <w:rsid w:val="00316ADB"/>
    <w:rsid w:val="00317623"/>
    <w:rsid w:val="00335F67"/>
    <w:rsid w:val="003361E9"/>
    <w:rsid w:val="00350A65"/>
    <w:rsid w:val="00352164"/>
    <w:rsid w:val="00357793"/>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01C7A"/>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C6A76"/>
    <w:rsid w:val="004E752F"/>
    <w:rsid w:val="004F1E37"/>
    <w:rsid w:val="00515198"/>
    <w:rsid w:val="00521C44"/>
    <w:rsid w:val="005274E1"/>
    <w:rsid w:val="00531DDF"/>
    <w:rsid w:val="00535FA6"/>
    <w:rsid w:val="00537DB9"/>
    <w:rsid w:val="00542AB7"/>
    <w:rsid w:val="0055358D"/>
    <w:rsid w:val="005540C8"/>
    <w:rsid w:val="00555809"/>
    <w:rsid w:val="00562165"/>
    <w:rsid w:val="005756AF"/>
    <w:rsid w:val="00575A4A"/>
    <w:rsid w:val="00591B6F"/>
    <w:rsid w:val="005A1DAF"/>
    <w:rsid w:val="005A67BD"/>
    <w:rsid w:val="005C17C8"/>
    <w:rsid w:val="005C2098"/>
    <w:rsid w:val="005C2E6C"/>
    <w:rsid w:val="005D0CCF"/>
    <w:rsid w:val="005D1C01"/>
    <w:rsid w:val="005D5BEE"/>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37684"/>
    <w:rsid w:val="007732A1"/>
    <w:rsid w:val="007739D4"/>
    <w:rsid w:val="00774C4A"/>
    <w:rsid w:val="00775421"/>
    <w:rsid w:val="00782BBB"/>
    <w:rsid w:val="007A0690"/>
    <w:rsid w:val="007A078F"/>
    <w:rsid w:val="007B34D4"/>
    <w:rsid w:val="007C0633"/>
    <w:rsid w:val="007D086C"/>
    <w:rsid w:val="007F1BE1"/>
    <w:rsid w:val="007F637D"/>
    <w:rsid w:val="007F707F"/>
    <w:rsid w:val="007F794C"/>
    <w:rsid w:val="007F7AC9"/>
    <w:rsid w:val="00803B42"/>
    <w:rsid w:val="008073EF"/>
    <w:rsid w:val="0081095C"/>
    <w:rsid w:val="00810C41"/>
    <w:rsid w:val="008212FF"/>
    <w:rsid w:val="0082593B"/>
    <w:rsid w:val="00827537"/>
    <w:rsid w:val="00830A05"/>
    <w:rsid w:val="0083462A"/>
    <w:rsid w:val="008468EA"/>
    <w:rsid w:val="00867140"/>
    <w:rsid w:val="00881134"/>
    <w:rsid w:val="008904F0"/>
    <w:rsid w:val="008B2F27"/>
    <w:rsid w:val="008B4A72"/>
    <w:rsid w:val="008B585E"/>
    <w:rsid w:val="008E0337"/>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92716"/>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00BB4"/>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D7047"/>
    <w:rsid w:val="00BE0305"/>
    <w:rsid w:val="00BF15F0"/>
    <w:rsid w:val="00BF7DF9"/>
    <w:rsid w:val="00C03559"/>
    <w:rsid w:val="00C05395"/>
    <w:rsid w:val="00C22AD7"/>
    <w:rsid w:val="00C272C1"/>
    <w:rsid w:val="00C32A68"/>
    <w:rsid w:val="00C34282"/>
    <w:rsid w:val="00C35350"/>
    <w:rsid w:val="00C3564B"/>
    <w:rsid w:val="00C41851"/>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49F5"/>
    <w:rsid w:val="00D355B5"/>
    <w:rsid w:val="00D43DC3"/>
    <w:rsid w:val="00D51791"/>
    <w:rsid w:val="00D5281E"/>
    <w:rsid w:val="00D6531B"/>
    <w:rsid w:val="00D6612D"/>
    <w:rsid w:val="00D71AD9"/>
    <w:rsid w:val="00D73C02"/>
    <w:rsid w:val="00D77D81"/>
    <w:rsid w:val="00D8170D"/>
    <w:rsid w:val="00D872ED"/>
    <w:rsid w:val="00D913C6"/>
    <w:rsid w:val="00DA0236"/>
    <w:rsid w:val="00DA37F7"/>
    <w:rsid w:val="00DA5D51"/>
    <w:rsid w:val="00DA5E29"/>
    <w:rsid w:val="00DA61CA"/>
    <w:rsid w:val="00DB66BB"/>
    <w:rsid w:val="00DB73AF"/>
    <w:rsid w:val="00DC2865"/>
    <w:rsid w:val="00DD0894"/>
    <w:rsid w:val="00DD12DB"/>
    <w:rsid w:val="00DE1888"/>
    <w:rsid w:val="00DF1250"/>
    <w:rsid w:val="00DF6EF7"/>
    <w:rsid w:val="00E05454"/>
    <w:rsid w:val="00E074C3"/>
    <w:rsid w:val="00E23329"/>
    <w:rsid w:val="00E24D6D"/>
    <w:rsid w:val="00E341B2"/>
    <w:rsid w:val="00E42633"/>
    <w:rsid w:val="00E5699E"/>
    <w:rsid w:val="00E570E1"/>
    <w:rsid w:val="00E70BEA"/>
    <w:rsid w:val="00E72773"/>
    <w:rsid w:val="00E76739"/>
    <w:rsid w:val="00E81946"/>
    <w:rsid w:val="00E82BB7"/>
    <w:rsid w:val="00E86D13"/>
    <w:rsid w:val="00E936C2"/>
    <w:rsid w:val="00E95346"/>
    <w:rsid w:val="00EA0CEF"/>
    <w:rsid w:val="00EA2E2A"/>
    <w:rsid w:val="00EB79D2"/>
    <w:rsid w:val="00EC0174"/>
    <w:rsid w:val="00EC0839"/>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3946B2A"/>
    <w:rsid w:val="19927F78"/>
    <w:rsid w:val="1ABD6BDE"/>
    <w:rsid w:val="1F7F9FD7"/>
    <w:rsid w:val="21AE59D8"/>
    <w:rsid w:val="27F75B92"/>
    <w:rsid w:val="286F56EA"/>
    <w:rsid w:val="2D527252"/>
    <w:rsid w:val="329102D6"/>
    <w:rsid w:val="39FB8D10"/>
    <w:rsid w:val="3A9520B3"/>
    <w:rsid w:val="3DE562B7"/>
    <w:rsid w:val="3E6507EA"/>
    <w:rsid w:val="43F9C3DD"/>
    <w:rsid w:val="47550EBA"/>
    <w:rsid w:val="4EED2905"/>
    <w:rsid w:val="50BB3388"/>
    <w:rsid w:val="5DEBA77D"/>
    <w:rsid w:val="5EF4B8E5"/>
    <w:rsid w:val="5FFFA628"/>
    <w:rsid w:val="6636451A"/>
    <w:rsid w:val="68AD45F7"/>
    <w:rsid w:val="6BE94116"/>
    <w:rsid w:val="7374E99D"/>
    <w:rsid w:val="78916378"/>
    <w:rsid w:val="796EFD6A"/>
    <w:rsid w:val="797A1FBD"/>
    <w:rsid w:val="7BC20073"/>
    <w:rsid w:val="7C631402"/>
    <w:rsid w:val="7DCC0F6E"/>
    <w:rsid w:val="7DDC4D22"/>
    <w:rsid w:val="7E140770"/>
    <w:rsid w:val="7EF6EF06"/>
    <w:rsid w:val="7F89BFD8"/>
    <w:rsid w:val="7FDF7E2C"/>
    <w:rsid w:val="9BFF62CB"/>
    <w:rsid w:val="9F9F30E4"/>
    <w:rsid w:val="AB9D2D5A"/>
    <w:rsid w:val="ACB3ED93"/>
    <w:rsid w:val="B7FF2280"/>
    <w:rsid w:val="BD51404E"/>
    <w:rsid w:val="BD6B2746"/>
    <w:rsid w:val="BF3F123F"/>
    <w:rsid w:val="BFA6C891"/>
    <w:rsid w:val="BFBDAE4C"/>
    <w:rsid w:val="BFDF6A39"/>
    <w:rsid w:val="D75B3849"/>
    <w:rsid w:val="D8EEB7B5"/>
    <w:rsid w:val="D9DD7817"/>
    <w:rsid w:val="DB5C890C"/>
    <w:rsid w:val="DD7F2954"/>
    <w:rsid w:val="E6F5C102"/>
    <w:rsid w:val="EB3DAD56"/>
    <w:rsid w:val="EFB9A67C"/>
    <w:rsid w:val="F56E113F"/>
    <w:rsid w:val="F64181AD"/>
    <w:rsid w:val="F76FA12C"/>
    <w:rsid w:val="F7EF5A14"/>
    <w:rsid w:val="F87F5391"/>
    <w:rsid w:val="FAEF4E24"/>
    <w:rsid w:val="FEFDA5E8"/>
    <w:rsid w:val="FF3F8259"/>
    <w:rsid w:val="FF73C945"/>
    <w:rsid w:val="FFB69389"/>
    <w:rsid w:val="FFC73E75"/>
    <w:rsid w:val="FFFF00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99"/>
    <w:rPr>
      <w:rFonts w:ascii="宋体"/>
      <w:sz w:val="18"/>
      <w:szCs w:val="18"/>
    </w:r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locked/>
    <w:uiPriority w:val="0"/>
    <w:pPr>
      <w:adjustRightInd w:val="0"/>
      <w:snapToGrid w:val="0"/>
      <w:spacing w:line="360" w:lineRule="auto"/>
      <w:jc w:val="left"/>
    </w:pPr>
    <w:rPr>
      <w:b/>
      <w:sz w:val="24"/>
      <w:szCs w:val="20"/>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rPr>
      <w:rFonts w:cs="Times New Roman"/>
    </w:rPr>
  </w:style>
  <w:style w:type="character" w:customStyle="1" w:styleId="11">
    <w:name w:val="文档结构图 Char"/>
    <w:link w:val="2"/>
    <w:qFormat/>
    <w:locked/>
    <w:uiPriority w:val="99"/>
    <w:rPr>
      <w:rFonts w:ascii="宋体" w:cs="Times New Roman"/>
      <w:kern w:val="2"/>
      <w:sz w:val="18"/>
      <w:szCs w:val="18"/>
    </w:rPr>
  </w:style>
  <w:style w:type="character" w:customStyle="1" w:styleId="12">
    <w:name w:val="批注框文本 Char"/>
    <w:link w:val="3"/>
    <w:semiHidden/>
    <w:qFormat/>
    <w:locked/>
    <w:uiPriority w:val="99"/>
    <w:rPr>
      <w:rFonts w:cs="Times New Roman"/>
      <w:sz w:val="2"/>
    </w:rPr>
  </w:style>
  <w:style w:type="character" w:customStyle="1" w:styleId="13">
    <w:name w:val="页脚 Char"/>
    <w:link w:val="4"/>
    <w:qFormat/>
    <w:locked/>
    <w:uiPriority w:val="99"/>
    <w:rPr>
      <w:rFonts w:cs="Times New Roman"/>
      <w:kern w:val="2"/>
      <w:sz w:val="18"/>
      <w:szCs w:val="18"/>
    </w:rPr>
  </w:style>
  <w:style w:type="character" w:customStyle="1" w:styleId="14">
    <w:name w:val="页眉 Char"/>
    <w:link w:val="5"/>
    <w:semiHidden/>
    <w:qFormat/>
    <w:locked/>
    <w:uiPriority w:val="99"/>
    <w:rPr>
      <w:rFonts w:cs="Times New Roman"/>
      <w:sz w:val="18"/>
      <w:szCs w:val="18"/>
    </w:rPr>
  </w:style>
  <w:style w:type="paragraph" w:customStyle="1" w:styleId="15">
    <w:name w:val="四号正文"/>
    <w:basedOn w:val="1"/>
    <w:link w:val="16"/>
    <w:qFormat/>
    <w:uiPriority w:val="99"/>
    <w:pPr>
      <w:spacing w:line="360" w:lineRule="auto"/>
    </w:pPr>
    <w:rPr>
      <w:rFonts w:ascii="??" w:hAnsi="??" w:cs="宋体"/>
      <w:color w:val="000000"/>
      <w:kern w:val="0"/>
      <w:sz w:val="28"/>
      <w:szCs w:val="21"/>
    </w:rPr>
  </w:style>
  <w:style w:type="character" w:customStyle="1" w:styleId="16">
    <w:name w:val="四号正文 Char"/>
    <w:link w:val="15"/>
    <w:qFormat/>
    <w:locked/>
    <w:uiPriority w:val="99"/>
    <w:rPr>
      <w:rFonts w:ascii="??" w:hAnsi="??" w:eastAsia="宋体" w:cs="宋体"/>
      <w:color w:val="000000"/>
      <w:sz w:val="21"/>
      <w:szCs w:val="21"/>
      <w:lang w:val="en-US" w:eastAsia="zh-CN" w:bidi="ar-SA"/>
    </w:rPr>
  </w:style>
  <w:style w:type="paragraph" w:customStyle="1" w:styleId="17">
    <w:name w:val="a"/>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2</Pages>
  <Words>63</Words>
  <Characters>361</Characters>
  <Lines>3</Lines>
  <Paragraphs>1</Paragraphs>
  <TotalTime>9</TotalTime>
  <ScaleCrop>false</ScaleCrop>
  <LinksUpToDate>false</LinksUpToDate>
  <CharactersWithSpaces>423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2020-05-30T17:28:00Z</dcterms:created>
  <dc:creator>陈萍</dc:creator>
  <cp:lastModifiedBy>user</cp:lastModifiedBy>
  <cp:lastPrinted>2024-04-11T11:17:58Z</cp:lastPrinted>
  <dcterms:modified xsi:type="dcterms:W3CDTF">2024-04-11T11:18:40Z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