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乐山市科学技术局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请乐山市科技创新平台后补助奖励公示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 w:cs="Arial"/>
          <w:color w:val="000000"/>
          <w:sz w:val="32"/>
          <w:szCs w:val="32"/>
        </w:rPr>
      </w:pPr>
    </w:p>
    <w:p>
      <w:pPr>
        <w:spacing w:line="240" w:lineRule="auto"/>
        <w:ind w:firstLine="645"/>
        <w:rPr>
          <w:rFonts w:hint="eastAsia" w:ascii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" w:eastAsia="仿宋"/>
          <w:color w:val="000000"/>
          <w:sz w:val="32"/>
          <w:szCs w:val="32"/>
        </w:rPr>
        <w:t>根据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乐山市</w:t>
      </w:r>
      <w:r>
        <w:rPr>
          <w:rFonts w:hint="eastAsia" w:ascii="仿宋_GB2312" w:eastAsia="仿宋_GB2312" w:cs="Arial"/>
          <w:color w:val="000000"/>
          <w:sz w:val="32"/>
          <w:szCs w:val="32"/>
        </w:rPr>
        <w:t>人民政府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eastAsia="仿宋_GB2312" w:cs="Arial"/>
          <w:color w:val="000000"/>
          <w:sz w:val="32"/>
          <w:szCs w:val="32"/>
        </w:rPr>
        <w:t>印发关于进一步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促进</w:t>
      </w:r>
      <w:r>
        <w:rPr>
          <w:rFonts w:hint="eastAsia" w:ascii="仿宋_GB2312" w:eastAsia="仿宋_GB2312" w:cs="Arial"/>
          <w:color w:val="000000"/>
          <w:sz w:val="32"/>
          <w:szCs w:val="32"/>
        </w:rPr>
        <w:t>科技创新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十条政策</w:t>
      </w:r>
      <w:r>
        <w:rPr>
          <w:rFonts w:hint="eastAsia" w:ascii="仿宋_GB2312" w:eastAsia="仿宋_GB2312" w:cs="Arial"/>
          <w:color w:val="000000"/>
          <w:sz w:val="32"/>
          <w:szCs w:val="32"/>
        </w:rPr>
        <w:t>的通知》（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乐</w:t>
      </w:r>
      <w:r>
        <w:rPr>
          <w:rFonts w:hint="eastAsia" w:ascii="仿宋_GB2312" w:eastAsia="仿宋_GB2312" w:cs="Arial"/>
          <w:color w:val="000000"/>
          <w:sz w:val="32"/>
          <w:szCs w:val="32"/>
        </w:rPr>
        <w:t>府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办规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〔202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32"/>
          <w:szCs w:val="32"/>
        </w:rPr>
        <w:t>号）、《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乐山市科技创新平台奖励</w:t>
      </w:r>
      <w:r>
        <w:rPr>
          <w:rFonts w:hint="eastAsia" w:ascii="仿宋_GB2312" w:eastAsia="仿宋_GB2312" w:cs="Arial"/>
          <w:color w:val="000000"/>
          <w:sz w:val="32"/>
          <w:szCs w:val="32"/>
        </w:rPr>
        <w:t>实施细则》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</w:rPr>
        <w:t>乐科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通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〔202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〕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Arial"/>
          <w:color w:val="000000"/>
          <w:sz w:val="32"/>
          <w:szCs w:val="32"/>
        </w:rPr>
        <w:t>号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Arial"/>
          <w:color w:val="000000"/>
          <w:sz w:val="32"/>
          <w:szCs w:val="32"/>
        </w:rPr>
        <w:t>文</w:t>
      </w:r>
      <w:r>
        <w:rPr>
          <w:rFonts w:ascii="仿宋" w:eastAsia="仿宋"/>
          <w:color w:val="000000"/>
          <w:sz w:val="32"/>
          <w:szCs w:val="32"/>
        </w:rPr>
        <w:t>件</w:t>
      </w:r>
      <w:r>
        <w:rPr>
          <w:rFonts w:hint="eastAsia" w:ascii="仿宋" w:eastAsia="仿宋"/>
          <w:color w:val="000000"/>
          <w:sz w:val="32"/>
          <w:szCs w:val="32"/>
          <w:lang w:eastAsia="zh-CN"/>
        </w:rPr>
        <w:t>要求，对申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eastAsia="仿宋_GB2312" w:cs="Arial"/>
          <w:color w:val="000000"/>
          <w:sz w:val="32"/>
          <w:szCs w:val="32"/>
        </w:rPr>
        <w:t>20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Arial"/>
          <w:color w:val="000000"/>
          <w:sz w:val="32"/>
          <w:szCs w:val="32"/>
        </w:rPr>
        <w:t>月1日至20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Arial"/>
          <w:color w:val="000000"/>
          <w:sz w:val="32"/>
          <w:szCs w:val="32"/>
        </w:rPr>
        <w:t>日的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奖励事项进行审核及主管部门征求意见，现将拟奖</w:t>
      </w:r>
      <w:r>
        <w:rPr>
          <w:rFonts w:hint="eastAsia" w:ascii="仿宋_GB2312" w:cs="Arial"/>
          <w:color w:val="000000"/>
          <w:sz w:val="32"/>
          <w:szCs w:val="32"/>
          <w:lang w:eastAsia="zh-CN"/>
        </w:rPr>
        <w:t>励结果予以公示（见附件）。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公示时间为5个工作日，在公示期内，对结论有异议者，请以书面形式向市科技局反映，逾期不予受理。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5" w:beforeAutospacing="0" w:after="315" w:afterAutospacing="0" w:line="23" w:lineRule="atLeast"/>
        <w:ind w:left="0" w:right="0" w:firstLine="420"/>
        <w:jc w:val="both"/>
        <w:rPr>
          <w:rFonts w:hint="default" w:ascii="仿宋_GB2312" w:hAnsi="Calibri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color w:val="000000"/>
          <w:kern w:val="2"/>
          <w:sz w:val="32"/>
          <w:szCs w:val="32"/>
          <w:lang w:val="en-US" w:eastAsia="zh-CN" w:bidi="ar-SA"/>
        </w:rPr>
        <w:t>联系人：资配科 吴洋</w:t>
      </w:r>
      <w:r>
        <w:rPr>
          <w:rFonts w:hint="eastAsia" w:ascii="仿宋_GB2312" w:eastAsia="仿宋_GB2312" w:cs="Arial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Calibri" w:eastAsia="仿宋_GB2312" w:cs="Arial"/>
          <w:color w:val="000000"/>
          <w:kern w:val="2"/>
          <w:sz w:val="32"/>
          <w:szCs w:val="32"/>
          <w:lang w:val="en-US" w:eastAsia="zh-CN" w:bidi="ar-SA"/>
        </w:rPr>
        <w:t>联系电话： 2443184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_GB2312" w:hAnsi="Calibri" w:eastAsia="仿宋_GB2312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Arial"/>
          <w:color w:val="000000"/>
          <w:kern w:val="2"/>
          <w:sz w:val="32"/>
          <w:szCs w:val="32"/>
          <w:lang w:val="en-US" w:eastAsia="zh-CN" w:bidi="ar-SA"/>
        </w:rPr>
        <w:t>市科技局机关纪委：潘俊长；联系电话：2442823</w:t>
      </w:r>
    </w:p>
    <w:p>
      <w:pPr>
        <w:spacing w:line="640" w:lineRule="exact"/>
        <w:ind w:left="960" w:hanging="960" w:hangingChars="300"/>
        <w:jc w:val="both"/>
        <w:rPr>
          <w:rFonts w:hint="eastAsia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  <w:t>附件 乐山市科技创新平台后补助奖励公示（拟兑现2023年9月1日至2024年9月30日）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40" w:lineRule="exact"/>
        <w:jc w:val="center"/>
        <w:rPr>
          <w:rFonts w:hint="eastAsia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  <w:t>乐山市科学技术局</w:t>
      </w:r>
    </w:p>
    <w:p>
      <w:pPr>
        <w:pStyle w:val="2"/>
        <w:rPr>
          <w:rFonts w:hint="default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Arial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2024年12月17日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eastAsia="仿宋"/>
          <w:sz w:val="32"/>
          <w:szCs w:val="32"/>
        </w:rPr>
      </w:pPr>
    </w:p>
    <w:p>
      <w:pPr>
        <w:jc w:val="center"/>
        <w:rPr>
          <w:rFonts w:hint="eastAsia" w:ascii="仿宋_GB2312" w:eastAsia="仿宋_GB2312" w:cs="Arial"/>
          <w:b/>
          <w:bCs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乐山市科技创新平台后补助奖励公示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拟兑现20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月1日至20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Arial"/>
          <w:b/>
          <w:bCs/>
          <w:color w:val="000000"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1237" w:tblpY="1151"/>
        <w:tblOverlap w:val="never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033"/>
        <w:gridCol w:w="265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申请奖补事项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新认定的国、省、市科技企业孵化器（众创空间）运营机构（乐山师范学院大学生创业孵化基地）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乐山师范学院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新备案的市级工程技术研究中心（乐山市生物饲料开发工程技术研究中心）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乐山市农业科学研究院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新备案的市级工程技术研究中心（乐山市发酵饲料工程技术研究中心）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乐山恒峰华邦生物科技有限公司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新备案的市级工程技术研究中心（乐山市生态环境工程材料工程技术研究中心）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乐山市富侨建材有限公司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市级院士、专家工作站创建为省级院士工作站（四川厚宇乡土文化发展有限公司院士工作站）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四川厚宇乡土文化发展有限公司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新备案的市级工程技术研究中心（乐山市大尺寸超薄硅片智能制造工程技术研究中心）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乐山高测新能源科技有限公司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新备案的市级工程技术研究中心（乐山市物联网可视化数字孪生工程技术研究中心）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宁格朗电器股份有限公司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新备案的市级工程技术研究中心（乐山市不锈钢工程技术研究中心）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四川罡宸不锈钢有限责任公司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新备案的市级工程技术研究中心（乐山市工业硅材料工程技术研究中心）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四川恒业硅业有限公司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B8D9"/>
    <w:rsid w:val="177FFB19"/>
    <w:rsid w:val="17A3D02B"/>
    <w:rsid w:val="193E901F"/>
    <w:rsid w:val="1A3BBED1"/>
    <w:rsid w:val="1A8F6C2F"/>
    <w:rsid w:val="2F9BEAA0"/>
    <w:rsid w:val="31F7E77F"/>
    <w:rsid w:val="3DFF8BAE"/>
    <w:rsid w:val="3F6F987D"/>
    <w:rsid w:val="3F815F81"/>
    <w:rsid w:val="4406BF7F"/>
    <w:rsid w:val="4B7F7DD0"/>
    <w:rsid w:val="4FEF67F0"/>
    <w:rsid w:val="55FA5AF2"/>
    <w:rsid w:val="565683EB"/>
    <w:rsid w:val="56EF8D58"/>
    <w:rsid w:val="5B7D0E2F"/>
    <w:rsid w:val="5EA3ACB6"/>
    <w:rsid w:val="6BAC4656"/>
    <w:rsid w:val="6FDFC5A1"/>
    <w:rsid w:val="6FEFCEE0"/>
    <w:rsid w:val="6FFE09A8"/>
    <w:rsid w:val="6FFFC3B7"/>
    <w:rsid w:val="756FD6AE"/>
    <w:rsid w:val="76EFE93C"/>
    <w:rsid w:val="77FE3F31"/>
    <w:rsid w:val="7A774ECB"/>
    <w:rsid w:val="7B75719A"/>
    <w:rsid w:val="7BBB6BE7"/>
    <w:rsid w:val="7BBF0775"/>
    <w:rsid w:val="7BDEE5F4"/>
    <w:rsid w:val="7BED06DB"/>
    <w:rsid w:val="7C3A0949"/>
    <w:rsid w:val="7DEF2B27"/>
    <w:rsid w:val="7F5EF793"/>
    <w:rsid w:val="7F67F93E"/>
    <w:rsid w:val="7F8F974B"/>
    <w:rsid w:val="7FBDE575"/>
    <w:rsid w:val="7FEF6A9A"/>
    <w:rsid w:val="7FF5099C"/>
    <w:rsid w:val="7FF62920"/>
    <w:rsid w:val="817F9D25"/>
    <w:rsid w:val="97F72ED5"/>
    <w:rsid w:val="9F7BC21E"/>
    <w:rsid w:val="9FFF821E"/>
    <w:rsid w:val="A5F1432A"/>
    <w:rsid w:val="BA7B23C6"/>
    <w:rsid w:val="BE751DE6"/>
    <w:rsid w:val="BEB80F10"/>
    <w:rsid w:val="BEBFF8EB"/>
    <w:rsid w:val="BF3F2542"/>
    <w:rsid w:val="D55B1423"/>
    <w:rsid w:val="DA4EB15C"/>
    <w:rsid w:val="DD9F5949"/>
    <w:rsid w:val="DE4E8CB8"/>
    <w:rsid w:val="DFFF20FF"/>
    <w:rsid w:val="DFFF6740"/>
    <w:rsid w:val="E7FF500F"/>
    <w:rsid w:val="EB6156D4"/>
    <w:rsid w:val="EFB3AD6C"/>
    <w:rsid w:val="EFBF1AFE"/>
    <w:rsid w:val="F3715199"/>
    <w:rsid w:val="F3FB8A7F"/>
    <w:rsid w:val="F77D7ED3"/>
    <w:rsid w:val="F7FB42AA"/>
    <w:rsid w:val="FB873DEF"/>
    <w:rsid w:val="FCFE4BDE"/>
    <w:rsid w:val="FD7D8F7D"/>
    <w:rsid w:val="FE734873"/>
    <w:rsid w:val="FE7FCEE3"/>
    <w:rsid w:val="FF5FB8D9"/>
    <w:rsid w:val="FF6B7BE2"/>
    <w:rsid w:val="FFE68DB0"/>
    <w:rsid w:val="FFEECB46"/>
    <w:rsid w:val="FFF7A115"/>
    <w:rsid w:val="FF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2024-10-29T02:56:00Z</dcterms:created>
  <dc:creator>user</dc:creator>
  <cp:lastModifiedBy>乐山市科技局管理员</cp:lastModifiedBy>
  <cp:lastPrinted>2024-11-15T10:39:00Z</cp:lastPrinted>
  <dcterms:modified xsi:type="dcterms:W3CDTF">2024-12-19T07:37:39Z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ACA274BE1D814F0DB3EA1BEC2B340613</vt:lpwstr>
  </property>
</Properties>
</file>